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F2C1EF">
      <w:pPr>
        <w:shd w:val="clear" w:color="auto" w:fill="FFFFFF"/>
        <w:suppressAutoHyphens w:val="0"/>
        <w:spacing w:line="240" w:lineRule="exact"/>
        <w:ind w:right="-83"/>
        <w:jc w:val="center"/>
        <w:rPr>
          <w:sz w:val="24"/>
          <w:szCs w:val="24"/>
          <w:lang w:eastAsia="ru-RU"/>
        </w:rPr>
      </w:pPr>
      <w:r>
        <w:rPr>
          <w:b/>
          <w:bCs/>
          <w:color w:val="000000"/>
          <w:spacing w:val="7"/>
          <w:sz w:val="24"/>
          <w:szCs w:val="24"/>
          <w:lang w:val="uk-UA" w:eastAsia="ru-RU"/>
        </w:rPr>
        <w:t>ОРГАН З ОЦІНКИ ВІДПОВІДНОСТІ</w:t>
      </w:r>
    </w:p>
    <w:p w14:paraId="75BEC90E">
      <w:pPr>
        <w:shd w:val="clear" w:color="auto" w:fill="FFFFFF"/>
        <w:suppressAutoHyphens w:val="0"/>
        <w:spacing w:line="240" w:lineRule="exact"/>
        <w:ind w:right="-83"/>
        <w:jc w:val="center"/>
        <w:rPr>
          <w:rFonts w:hint="default"/>
          <w:b/>
          <w:color w:val="000000"/>
          <w:spacing w:val="18"/>
          <w:sz w:val="24"/>
          <w:szCs w:val="24"/>
          <w:lang w:val="uk-UA" w:eastAsia="ru-RU"/>
        </w:rPr>
      </w:pPr>
      <w:r>
        <w:rPr>
          <w:b/>
          <w:color w:val="000000"/>
          <w:spacing w:val="18"/>
          <w:sz w:val="24"/>
          <w:szCs w:val="24"/>
          <w:lang w:val="uk-UA" w:eastAsia="ru-RU"/>
        </w:rPr>
        <w:t>ТОВАРИСТВА З ОБМЕЖЕНОЮ ВІДПОВІДАЛЬНІСТЮ «КСЦ</w:t>
      </w:r>
      <w:r>
        <w:rPr>
          <w:rFonts w:hint="default"/>
          <w:b/>
          <w:color w:val="000000"/>
          <w:spacing w:val="18"/>
          <w:sz w:val="24"/>
          <w:szCs w:val="24"/>
          <w:lang w:val="uk-UA" w:eastAsia="ru-RU"/>
        </w:rPr>
        <w:t>-КОНКОРД</w:t>
      </w:r>
    </w:p>
    <w:p w14:paraId="182DFACD">
      <w:pPr>
        <w:shd w:val="clear" w:color="auto" w:fill="FFFFFF"/>
        <w:suppressAutoHyphens w:val="0"/>
        <w:spacing w:line="240" w:lineRule="exact"/>
        <w:ind w:right="-83"/>
        <w:jc w:val="center"/>
        <w:rPr>
          <w:sz w:val="24"/>
          <w:szCs w:val="24"/>
          <w:lang w:eastAsia="ru-RU"/>
        </w:rPr>
      </w:pPr>
      <w:r>
        <w:rPr>
          <w:b/>
          <w:color w:val="000000"/>
          <w:spacing w:val="18"/>
          <w:sz w:val="24"/>
          <w:szCs w:val="24"/>
          <w:lang w:val="uk-UA" w:eastAsia="ru-RU"/>
        </w:rPr>
        <w:t>»</w:t>
      </w:r>
    </w:p>
    <w:p w14:paraId="25B04329">
      <w:pPr>
        <w:shd w:val="clear" w:color="auto" w:fill="FFFFFF"/>
        <w:suppressAutoHyphens w:val="0"/>
        <w:jc w:val="center"/>
        <w:rPr>
          <w:sz w:val="24"/>
          <w:szCs w:val="24"/>
          <w:lang w:val="uk-UA" w:eastAsia="ru-RU"/>
        </w:rPr>
      </w:pPr>
      <w:r>
        <w:rPr>
          <w:lang w:val="uk-UA"/>
        </w:rPr>
        <w:t>(Ф-0001)</w:t>
      </w:r>
    </w:p>
    <w:p w14:paraId="1B88EED9">
      <w:pPr>
        <w:shd w:val="clear" w:color="auto" w:fill="FFFFFF"/>
        <w:suppressAutoHyphens w:val="0"/>
        <w:jc w:val="center"/>
        <w:rPr>
          <w:sz w:val="24"/>
          <w:szCs w:val="24"/>
          <w:lang w:val="uk-UA" w:eastAsia="ru-RU"/>
        </w:rPr>
      </w:pPr>
    </w:p>
    <w:p w14:paraId="6D65445D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 xml:space="preserve">СЕРТИФІКАЦІЙНА УГОДА </w:t>
      </w:r>
    </w:p>
    <w:p w14:paraId="5CF86099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  <w:sz w:val="22"/>
          <w:szCs w:val="22"/>
          <w:lang w:val="uk-UA"/>
        </w:rPr>
      </w:pPr>
      <w:r>
        <w:rPr>
          <w:bCs/>
          <w:color w:val="000000"/>
          <w:sz w:val="22"/>
          <w:szCs w:val="22"/>
          <w:lang w:val="uk-UA"/>
        </w:rPr>
        <w:t>№ від..</w:t>
      </w:r>
      <w:r>
        <w:rPr>
          <w:rFonts w:hint="default"/>
          <w:bCs/>
          <w:color w:val="000000"/>
          <w:sz w:val="22"/>
          <w:szCs w:val="22"/>
          <w:lang w:val="uk-UA"/>
        </w:rPr>
        <w:t>............................</w:t>
      </w:r>
      <w:r>
        <w:rPr>
          <w:bCs/>
          <w:color w:val="000000"/>
          <w:sz w:val="22"/>
          <w:szCs w:val="22"/>
          <w:lang w:val="uk-UA"/>
        </w:rPr>
        <w:t>2024 р.</w:t>
      </w:r>
    </w:p>
    <w:p w14:paraId="58ABC8C9">
      <w:pPr>
        <w:shd w:val="clear" w:color="auto" w:fill="FFFFFF"/>
        <w:autoSpaceDE w:val="0"/>
        <w:autoSpaceDN w:val="0"/>
        <w:adjustRightInd w:val="0"/>
        <w:spacing w:line="216" w:lineRule="auto"/>
        <w:ind w:left="-57" w:right="-57" w:firstLine="397"/>
        <w:rPr>
          <w:bCs/>
          <w:color w:val="000000"/>
          <w:sz w:val="22"/>
          <w:szCs w:val="22"/>
          <w:lang w:val="uk-UA"/>
        </w:rPr>
      </w:pPr>
    </w:p>
    <w:p w14:paraId="1AA28E85">
      <w:pPr>
        <w:shd w:val="clear" w:color="auto" w:fill="FFFFFF"/>
        <w:autoSpaceDE w:val="0"/>
        <w:autoSpaceDN w:val="0"/>
        <w:adjustRightInd w:val="0"/>
        <w:spacing w:line="216" w:lineRule="auto"/>
        <w:ind w:left="-57" w:right="-57" w:firstLine="397"/>
        <w:jc w:val="both"/>
        <w:rPr>
          <w:bCs/>
          <w:color w:val="000000"/>
          <w:sz w:val="22"/>
          <w:szCs w:val="22"/>
          <w:lang w:val="uk-UA"/>
        </w:rPr>
      </w:pPr>
      <w:r>
        <w:rPr>
          <w:bCs/>
          <w:color w:val="000000"/>
          <w:spacing w:val="-2"/>
          <w:sz w:val="22"/>
          <w:szCs w:val="22"/>
          <w:lang w:val="uk-UA"/>
        </w:rPr>
        <w:t>Орган з оцінки відповідності Товариство з обмеженою відповідальність «КСЦ</w:t>
      </w:r>
      <w:r>
        <w:rPr>
          <w:rFonts w:hint="default"/>
          <w:bCs/>
          <w:color w:val="000000"/>
          <w:spacing w:val="-2"/>
          <w:sz w:val="22"/>
          <w:szCs w:val="22"/>
          <w:lang w:val="uk-UA"/>
        </w:rPr>
        <w:t>-КОНКОРД</w:t>
      </w:r>
      <w:r>
        <w:rPr>
          <w:bCs/>
          <w:color w:val="000000"/>
          <w:spacing w:val="-2"/>
          <w:sz w:val="22"/>
          <w:szCs w:val="22"/>
          <w:lang w:val="uk-UA"/>
        </w:rPr>
        <w:t>» (ТОВ «КСЦ</w:t>
      </w:r>
      <w:r>
        <w:rPr>
          <w:rFonts w:hint="default"/>
          <w:bCs/>
          <w:color w:val="000000"/>
          <w:spacing w:val="-2"/>
          <w:sz w:val="22"/>
          <w:szCs w:val="22"/>
          <w:lang w:val="uk-UA"/>
        </w:rPr>
        <w:t>-КОНКОРД</w:t>
      </w:r>
      <w:r>
        <w:rPr>
          <w:bCs/>
          <w:color w:val="000000"/>
          <w:spacing w:val="-2"/>
          <w:sz w:val="22"/>
          <w:szCs w:val="22"/>
          <w:lang w:val="uk-UA"/>
        </w:rPr>
        <w:t>»), в особі Керівника органу</w:t>
      </w:r>
      <w:r>
        <w:rPr>
          <w:rFonts w:hint="default"/>
          <w:bCs/>
          <w:color w:val="000000"/>
          <w:spacing w:val="-2"/>
          <w:sz w:val="22"/>
          <w:szCs w:val="22"/>
          <w:lang w:val="uk-UA"/>
        </w:rPr>
        <w:t xml:space="preserve"> </w:t>
      </w:r>
      <w:r>
        <w:rPr>
          <w:bCs/>
          <w:color w:val="000000"/>
          <w:spacing w:val="-2"/>
          <w:sz w:val="22"/>
          <w:szCs w:val="22"/>
          <w:lang w:val="uk-UA"/>
        </w:rPr>
        <w:t>Грабовський</w:t>
      </w:r>
      <w:r>
        <w:rPr>
          <w:rFonts w:hint="default"/>
          <w:bCs/>
          <w:color w:val="000000"/>
          <w:spacing w:val="-2"/>
          <w:sz w:val="22"/>
          <w:szCs w:val="22"/>
          <w:lang w:val="uk-UA"/>
        </w:rPr>
        <w:t xml:space="preserve"> </w:t>
      </w:r>
      <w:r>
        <w:rPr>
          <w:bCs/>
          <w:color w:val="000000"/>
          <w:spacing w:val="-2"/>
          <w:sz w:val="22"/>
          <w:szCs w:val="22"/>
          <w:lang w:val="uk-UA"/>
        </w:rPr>
        <w:t xml:space="preserve">Д.О., що діє на підставі наказу, у подальшому </w:t>
      </w:r>
      <w:r>
        <w:rPr>
          <w:color w:val="000000"/>
          <w:sz w:val="22"/>
          <w:szCs w:val="22"/>
          <w:lang w:val="uk-UA"/>
        </w:rPr>
        <w:t>ВИКОНАВЕЦЬ,</w:t>
      </w:r>
      <w:r>
        <w:rPr>
          <w:bCs/>
          <w:color w:val="000000"/>
          <w:spacing w:val="-2"/>
          <w:sz w:val="22"/>
          <w:szCs w:val="22"/>
          <w:lang w:val="uk-UA"/>
        </w:rPr>
        <w:t xml:space="preserve"> </w:t>
      </w:r>
      <w:r>
        <w:rPr>
          <w:color w:val="000000"/>
          <w:sz w:val="22"/>
          <w:szCs w:val="22"/>
          <w:lang w:val="uk-UA"/>
        </w:rPr>
        <w:t xml:space="preserve">з однієї сторони, та приватна особа, у подальшому </w:t>
      </w:r>
      <w:r>
        <w:rPr>
          <w:bCs/>
          <w:color w:val="000000"/>
          <w:spacing w:val="-2"/>
          <w:sz w:val="22"/>
          <w:szCs w:val="22"/>
          <w:lang w:val="uk-UA"/>
        </w:rPr>
        <w:t>КЛІЄНТ</w:t>
      </w:r>
      <w:r>
        <w:rPr>
          <w:bCs/>
          <w:color w:val="000000"/>
          <w:sz w:val="22"/>
          <w:szCs w:val="22"/>
          <w:lang w:val="uk-UA"/>
        </w:rPr>
        <w:t>,</w:t>
      </w:r>
      <w:r>
        <w:rPr>
          <w:color w:val="000000"/>
          <w:sz w:val="22"/>
          <w:szCs w:val="22"/>
          <w:lang w:val="uk-UA"/>
        </w:rPr>
        <w:t xml:space="preserve"> з другої сторони, (далі по тексту - СТОРОНИ), уклали цю </w:t>
      </w:r>
      <w:r>
        <w:rPr>
          <w:bCs/>
          <w:color w:val="000000"/>
          <w:sz w:val="22"/>
          <w:szCs w:val="22"/>
          <w:lang w:val="uk-UA"/>
        </w:rPr>
        <w:t>СЕРТИФІКАЦІЙНУ УГОДУ</w:t>
      </w:r>
      <w:r>
        <w:rPr>
          <w:b/>
          <w:bCs/>
          <w:color w:val="000000"/>
          <w:sz w:val="22"/>
          <w:szCs w:val="22"/>
          <w:lang w:val="uk-UA"/>
        </w:rPr>
        <w:t xml:space="preserve"> </w:t>
      </w:r>
      <w:r>
        <w:rPr>
          <w:color w:val="000000"/>
          <w:sz w:val="22"/>
          <w:szCs w:val="22"/>
          <w:lang w:val="uk-UA"/>
        </w:rPr>
        <w:t>про наступне.</w:t>
      </w:r>
    </w:p>
    <w:p w14:paraId="1D546921">
      <w:pPr>
        <w:shd w:val="clear" w:color="auto" w:fill="FFFFFF"/>
        <w:autoSpaceDE w:val="0"/>
        <w:autoSpaceDN w:val="0"/>
        <w:adjustRightInd w:val="0"/>
        <w:spacing w:line="216" w:lineRule="auto"/>
        <w:ind w:left="-57" w:right="-57" w:firstLine="397"/>
        <w:jc w:val="center"/>
        <w:rPr>
          <w:b/>
          <w:sz w:val="22"/>
          <w:szCs w:val="22"/>
          <w:lang w:val="uk-UA"/>
        </w:rPr>
      </w:pPr>
      <w:r>
        <w:rPr>
          <w:b/>
          <w:bCs/>
          <w:color w:val="000000"/>
          <w:sz w:val="22"/>
          <w:szCs w:val="22"/>
          <w:lang w:val="uk-UA"/>
        </w:rPr>
        <w:t>1. ПРЕДМЕТ УГОДИ</w:t>
      </w:r>
    </w:p>
    <w:p w14:paraId="17B2F532">
      <w:pPr>
        <w:shd w:val="clear" w:color="auto" w:fill="FFFFFF"/>
        <w:autoSpaceDE w:val="0"/>
        <w:autoSpaceDN w:val="0"/>
        <w:adjustRightInd w:val="0"/>
        <w:spacing w:line="216" w:lineRule="auto"/>
        <w:ind w:left="-57" w:right="-57" w:firstLine="397"/>
        <w:jc w:val="both"/>
        <w:rPr>
          <w:sz w:val="22"/>
          <w:szCs w:val="22"/>
          <w:lang w:val="uk-UA"/>
        </w:rPr>
      </w:pPr>
      <w:r>
        <w:rPr>
          <w:color w:val="000000"/>
          <w:sz w:val="22"/>
          <w:szCs w:val="22"/>
          <w:lang w:val="uk-UA"/>
        </w:rPr>
        <w:t xml:space="preserve">1.1. </w:t>
      </w:r>
      <w:r>
        <w:rPr>
          <w:bCs/>
          <w:color w:val="000000"/>
          <w:spacing w:val="-2"/>
          <w:sz w:val="22"/>
          <w:szCs w:val="22"/>
          <w:lang w:val="uk-UA"/>
        </w:rPr>
        <w:t>КЛІЄНТ</w:t>
      </w:r>
      <w:r>
        <w:rPr>
          <w:color w:val="000000"/>
          <w:sz w:val="22"/>
          <w:szCs w:val="22"/>
          <w:lang w:val="uk-UA"/>
        </w:rPr>
        <w:t xml:space="preserve"> доручає, а ВИКОНАВЕЦЬ</w:t>
      </w:r>
      <w:r>
        <w:rPr>
          <w:sz w:val="22"/>
          <w:szCs w:val="22"/>
          <w:lang w:val="uk-UA"/>
        </w:rPr>
        <w:t xml:space="preserve"> бере на себе виконання робіт із забезпечення оцінки відповідності </w:t>
      </w:r>
    </w:p>
    <w:p w14:paraId="7F379820">
      <w:pPr>
        <w:shd w:val="clear" w:color="auto" w:fill="FFFFFF"/>
        <w:spacing w:line="216" w:lineRule="auto"/>
        <w:ind w:left="-57" w:right="-57" w:firstLine="397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2. ВАРТІСТЬ ТА ПОРЯДОК ОПЛАТИ РОБІТ</w:t>
      </w:r>
    </w:p>
    <w:p w14:paraId="72EC8B08">
      <w:pPr>
        <w:shd w:val="clear" w:color="auto" w:fill="FFFFFF"/>
        <w:spacing w:line="216" w:lineRule="auto"/>
        <w:ind w:left="-57" w:right="-57" w:firstLine="397"/>
        <w:jc w:val="both"/>
        <w:rPr>
          <w:sz w:val="22"/>
          <w:szCs w:val="22"/>
        </w:rPr>
      </w:pPr>
      <w:r>
        <w:rPr>
          <w:sz w:val="22"/>
          <w:szCs w:val="22"/>
        </w:rPr>
        <w:t>2.1. Вартість робіт визначається згідно чинної затвердженої калькуляції на час виконання робіт, яка розрахована відповідно до умов, затверджених Постановою КМУ від 1</w:t>
      </w:r>
      <w:r>
        <w:rPr>
          <w:sz w:val="22"/>
          <w:szCs w:val="22"/>
          <w:lang w:val="uk-UA"/>
        </w:rPr>
        <w:t>2</w:t>
      </w:r>
      <w:r>
        <w:rPr>
          <w:sz w:val="22"/>
          <w:szCs w:val="22"/>
        </w:rPr>
        <w:t>.0</w:t>
      </w:r>
      <w:r>
        <w:rPr>
          <w:sz w:val="22"/>
          <w:szCs w:val="22"/>
          <w:lang w:val="uk-UA"/>
        </w:rPr>
        <w:t>7</w:t>
      </w:r>
      <w:r>
        <w:rPr>
          <w:sz w:val="22"/>
          <w:szCs w:val="22"/>
        </w:rPr>
        <w:t>.20</w:t>
      </w:r>
      <w:r>
        <w:rPr>
          <w:sz w:val="22"/>
          <w:szCs w:val="22"/>
          <w:lang w:val="uk-UA"/>
        </w:rPr>
        <w:t>17</w:t>
      </w:r>
      <w:r>
        <w:rPr>
          <w:sz w:val="22"/>
          <w:szCs w:val="22"/>
        </w:rPr>
        <w:t xml:space="preserve"> р. № </w:t>
      </w:r>
      <w:r>
        <w:rPr>
          <w:sz w:val="22"/>
          <w:szCs w:val="22"/>
          <w:lang w:val="uk-UA"/>
        </w:rPr>
        <w:t>514</w:t>
      </w:r>
      <w:r>
        <w:rPr>
          <w:sz w:val="22"/>
          <w:szCs w:val="22"/>
        </w:rPr>
        <w:t xml:space="preserve"> «Правила визначення вартості робіт з </w:t>
      </w:r>
      <w:r>
        <w:rPr>
          <w:sz w:val="22"/>
          <w:szCs w:val="22"/>
          <w:lang w:val="uk-UA"/>
        </w:rPr>
        <w:t>оцінки відповідності вимогам технічних регламентів, що виконуються призначеними органами з оцінки відповідності та визнаними незалежними організаціями</w:t>
      </w:r>
      <w:r>
        <w:rPr>
          <w:sz w:val="22"/>
          <w:szCs w:val="22"/>
        </w:rPr>
        <w:t>».</w:t>
      </w:r>
    </w:p>
    <w:p w14:paraId="42F181A8">
      <w:pPr>
        <w:shd w:val="clear" w:color="auto" w:fill="FFFFFF"/>
        <w:spacing w:line="216" w:lineRule="auto"/>
        <w:ind w:left="-57" w:right="-57" w:firstLine="39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2.2. Надані </w:t>
      </w:r>
      <w:r>
        <w:rPr>
          <w:sz w:val="22"/>
          <w:szCs w:val="22"/>
          <w:lang w:val="uk-UA"/>
        </w:rPr>
        <w:t>ВИКОНАВЦЕМ</w:t>
      </w:r>
      <w:r>
        <w:rPr>
          <w:sz w:val="22"/>
          <w:szCs w:val="22"/>
        </w:rPr>
        <w:t xml:space="preserve"> послуги для </w:t>
      </w:r>
      <w:r>
        <w:rPr>
          <w:sz w:val="22"/>
          <w:szCs w:val="22"/>
          <w:lang w:val="uk-UA"/>
        </w:rPr>
        <w:t>КЛІЄНТА</w:t>
      </w:r>
      <w:r>
        <w:rPr>
          <w:sz w:val="22"/>
          <w:szCs w:val="22"/>
        </w:rPr>
        <w:t xml:space="preserve"> оплачуються ним на підставі виставлених рахунків.</w:t>
      </w:r>
    </w:p>
    <w:p w14:paraId="6FEB50AE">
      <w:pPr>
        <w:shd w:val="clear" w:color="auto" w:fill="FFFFFF"/>
        <w:autoSpaceDE w:val="0"/>
        <w:autoSpaceDN w:val="0"/>
        <w:adjustRightInd w:val="0"/>
        <w:spacing w:line="216" w:lineRule="auto"/>
        <w:ind w:left="-57" w:right="-57" w:firstLine="397"/>
        <w:jc w:val="center"/>
        <w:rPr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3. ЗОБОВЯЗАННЯ СТОРІН</w:t>
      </w:r>
    </w:p>
    <w:p w14:paraId="6E5831BF">
      <w:pPr>
        <w:shd w:val="clear" w:color="auto" w:fill="FFFFFF"/>
        <w:tabs>
          <w:tab w:val="left" w:pos="1114"/>
        </w:tabs>
        <w:spacing w:line="216" w:lineRule="auto"/>
        <w:ind w:left="-57" w:right="-57" w:firstLine="397"/>
        <w:jc w:val="both"/>
        <w:rPr>
          <w:sz w:val="22"/>
          <w:szCs w:val="22"/>
        </w:rPr>
      </w:pPr>
      <w:r>
        <w:rPr>
          <w:spacing w:val="-11"/>
          <w:sz w:val="22"/>
          <w:szCs w:val="22"/>
        </w:rPr>
        <w:t>3.1.</w:t>
      </w:r>
      <w:r>
        <w:rPr>
          <w:sz w:val="22"/>
          <w:szCs w:val="22"/>
        </w:rPr>
        <w:tab/>
      </w:r>
      <w:r>
        <w:rPr>
          <w:color w:val="000000"/>
          <w:sz w:val="22"/>
          <w:szCs w:val="22"/>
        </w:rPr>
        <w:t>ВИКОНАВЕЦЬ</w:t>
      </w:r>
      <w:r>
        <w:rPr>
          <w:sz w:val="22"/>
          <w:szCs w:val="22"/>
        </w:rPr>
        <w:t xml:space="preserve"> зобов'язується:</w:t>
      </w:r>
    </w:p>
    <w:p w14:paraId="5053504B">
      <w:pPr>
        <w:shd w:val="clear" w:color="auto" w:fill="FFFFFF"/>
        <w:tabs>
          <w:tab w:val="left" w:pos="1114"/>
        </w:tabs>
        <w:spacing w:line="216" w:lineRule="auto"/>
        <w:ind w:left="-57" w:right="-57" w:firstLine="397"/>
        <w:jc w:val="both"/>
        <w:rPr>
          <w:sz w:val="22"/>
          <w:szCs w:val="22"/>
        </w:rPr>
      </w:pPr>
      <w:r>
        <w:rPr>
          <w:sz w:val="22"/>
          <w:szCs w:val="22"/>
        </w:rPr>
        <w:t>3.1.1. За заявкою замовника організовувати і проводити комплекс робіт у відповідності до вимог нормативних документів та схеми сертифікації.</w:t>
      </w:r>
    </w:p>
    <w:p w14:paraId="0E7FFCCE">
      <w:pPr>
        <w:shd w:val="clear" w:color="auto" w:fill="FFFFFF"/>
        <w:tabs>
          <w:tab w:val="left" w:pos="1114"/>
        </w:tabs>
        <w:spacing w:line="216" w:lineRule="auto"/>
        <w:ind w:left="-57" w:right="-57" w:firstLine="39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3.1.2. На вимогу </w:t>
      </w:r>
      <w:r>
        <w:rPr>
          <w:bCs/>
          <w:color w:val="000000"/>
          <w:spacing w:val="-2"/>
          <w:sz w:val="22"/>
          <w:szCs w:val="22"/>
        </w:rPr>
        <w:t>КЛІЄНТА</w:t>
      </w:r>
      <w:r>
        <w:rPr>
          <w:sz w:val="22"/>
          <w:szCs w:val="22"/>
        </w:rPr>
        <w:t xml:space="preserve"> повідомляти про стан виконання робіт.</w:t>
      </w:r>
    </w:p>
    <w:p w14:paraId="7C058452">
      <w:pPr>
        <w:shd w:val="clear" w:color="auto" w:fill="FFFFFF"/>
        <w:tabs>
          <w:tab w:val="left" w:pos="1114"/>
        </w:tabs>
        <w:spacing w:line="216" w:lineRule="auto"/>
        <w:ind w:left="-57" w:right="-57" w:firstLine="39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3.1.3. По факту виконання робіт по кожній окремій заявці надавати </w:t>
      </w:r>
      <w:r>
        <w:rPr>
          <w:bCs/>
          <w:color w:val="000000"/>
          <w:spacing w:val="-2"/>
          <w:sz w:val="22"/>
          <w:szCs w:val="22"/>
        </w:rPr>
        <w:t>КЛІЄНТУ</w:t>
      </w:r>
      <w:r>
        <w:rPr>
          <w:sz w:val="22"/>
          <w:szCs w:val="22"/>
        </w:rPr>
        <w:t xml:space="preserve"> Акти прийомки-здачі виконаних робіт.</w:t>
      </w:r>
    </w:p>
    <w:p w14:paraId="4CEAD97D">
      <w:pPr>
        <w:autoSpaceDE w:val="0"/>
        <w:autoSpaceDN w:val="0"/>
        <w:adjustRightInd w:val="0"/>
        <w:spacing w:line="216" w:lineRule="auto"/>
        <w:ind w:left="-57" w:right="-57" w:firstLine="397"/>
        <w:jc w:val="both"/>
        <w:rPr>
          <w:sz w:val="22"/>
          <w:szCs w:val="22"/>
        </w:rPr>
      </w:pPr>
      <w:r>
        <w:rPr>
          <w:color w:val="000000"/>
          <w:sz w:val="22"/>
          <w:szCs w:val="22"/>
        </w:rPr>
        <w:t xml:space="preserve">3.2. </w:t>
      </w:r>
      <w:r>
        <w:rPr>
          <w:bCs/>
          <w:sz w:val="22"/>
          <w:szCs w:val="22"/>
        </w:rPr>
        <w:t>ВИКОНАВЕЦЬ</w:t>
      </w:r>
      <w:r>
        <w:rPr>
          <w:sz w:val="22"/>
          <w:szCs w:val="22"/>
        </w:rPr>
        <w:t xml:space="preserve"> забезпечує відповідність сертифікаційної угоди наступним вимогам.</w:t>
      </w:r>
    </w:p>
    <w:p w14:paraId="4651DAD0">
      <w:pPr>
        <w:autoSpaceDE w:val="0"/>
        <w:autoSpaceDN w:val="0"/>
        <w:adjustRightInd w:val="0"/>
        <w:spacing w:line="216" w:lineRule="auto"/>
        <w:ind w:left="-57" w:right="-57" w:firstLine="39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3.2.1. КЛІЄНТ завжди виконує сертифікаційні вимоги, зокрема, запроваджені відповідні зміни, що були повідомлені </w:t>
      </w:r>
      <w:r>
        <w:rPr>
          <w:bCs/>
          <w:sz w:val="22"/>
          <w:szCs w:val="22"/>
        </w:rPr>
        <w:t>ВИКОНАВЦЕМ</w:t>
      </w:r>
      <w:r>
        <w:rPr>
          <w:sz w:val="22"/>
          <w:szCs w:val="22"/>
        </w:rPr>
        <w:t>.</w:t>
      </w:r>
    </w:p>
    <w:p w14:paraId="4FEBFDC5">
      <w:pPr>
        <w:autoSpaceDE w:val="0"/>
        <w:autoSpaceDN w:val="0"/>
        <w:adjustRightInd w:val="0"/>
        <w:spacing w:line="216" w:lineRule="auto"/>
        <w:ind w:left="-57" w:right="-57" w:firstLine="397"/>
        <w:jc w:val="both"/>
        <w:rPr>
          <w:sz w:val="22"/>
          <w:szCs w:val="22"/>
        </w:rPr>
      </w:pPr>
      <w:r>
        <w:rPr>
          <w:sz w:val="22"/>
          <w:szCs w:val="22"/>
        </w:rPr>
        <w:t>3.2.2. Якщо сертифікація застосовується до продукції, що знаходиться в тривалому виробництві, то сертифікована продукція продовжує відповідати вимогам до неї.</w:t>
      </w:r>
    </w:p>
    <w:p w14:paraId="19D2F1E5">
      <w:pPr>
        <w:autoSpaceDE w:val="0"/>
        <w:autoSpaceDN w:val="0"/>
        <w:adjustRightInd w:val="0"/>
        <w:spacing w:line="216" w:lineRule="auto"/>
        <w:ind w:left="-57" w:right="-57" w:firstLine="397"/>
        <w:jc w:val="both"/>
        <w:rPr>
          <w:sz w:val="22"/>
          <w:szCs w:val="22"/>
        </w:rPr>
      </w:pPr>
      <w:r>
        <w:rPr>
          <w:sz w:val="22"/>
          <w:szCs w:val="22"/>
        </w:rPr>
        <w:t>3.2.3. КЛІЄНТ запроваджує усі необхідні заходи для</w:t>
      </w:r>
      <w:r>
        <w:rPr>
          <w:sz w:val="22"/>
          <w:szCs w:val="22"/>
          <w:lang w:val="uk-UA"/>
        </w:rPr>
        <w:t>:</w:t>
      </w:r>
      <w:r>
        <w:rPr>
          <w:sz w:val="22"/>
          <w:szCs w:val="22"/>
        </w:rPr>
        <w:t xml:space="preserve"> </w:t>
      </w:r>
    </w:p>
    <w:p w14:paraId="0B55FD81">
      <w:pPr>
        <w:autoSpaceDE w:val="0"/>
        <w:autoSpaceDN w:val="0"/>
        <w:adjustRightInd w:val="0"/>
        <w:spacing w:line="216" w:lineRule="auto"/>
        <w:ind w:left="-57" w:right="-57" w:firstLine="397"/>
        <w:jc w:val="both"/>
        <w:rPr>
          <w:sz w:val="22"/>
          <w:szCs w:val="22"/>
        </w:rPr>
      </w:pPr>
      <w:r>
        <w:rPr>
          <w:sz w:val="22"/>
          <w:szCs w:val="22"/>
        </w:rPr>
        <w:t>1) провадження оцінювання та наглядання (за потреби), зокрема, забезпечення документів для розгляду документації та записів, і доступу до відповідного устаткування, ділянок, підрозділів, персоналу та субпідрядників КЛІЄНТА;</w:t>
      </w:r>
    </w:p>
    <w:p w14:paraId="389025B6">
      <w:pPr>
        <w:autoSpaceDE w:val="0"/>
        <w:autoSpaceDN w:val="0"/>
        <w:adjustRightInd w:val="0"/>
        <w:spacing w:line="216" w:lineRule="auto"/>
        <w:ind w:left="-57" w:right="-57" w:firstLine="397"/>
        <w:jc w:val="both"/>
        <w:rPr>
          <w:sz w:val="22"/>
          <w:szCs w:val="22"/>
        </w:rPr>
      </w:pPr>
      <w:r>
        <w:rPr>
          <w:sz w:val="22"/>
          <w:szCs w:val="22"/>
        </w:rPr>
        <w:t>2) розгляду скарг;</w:t>
      </w:r>
    </w:p>
    <w:p w14:paraId="09B08B61">
      <w:pPr>
        <w:autoSpaceDE w:val="0"/>
        <w:autoSpaceDN w:val="0"/>
        <w:adjustRightInd w:val="0"/>
        <w:spacing w:line="216" w:lineRule="auto"/>
        <w:ind w:left="-57" w:right="-57" w:firstLine="397"/>
        <w:jc w:val="both"/>
        <w:rPr>
          <w:sz w:val="22"/>
          <w:szCs w:val="22"/>
        </w:rPr>
      </w:pPr>
      <w:r>
        <w:rPr>
          <w:sz w:val="22"/>
          <w:szCs w:val="22"/>
        </w:rPr>
        <w:t>3) участі спостерігачів, за потреби;</w:t>
      </w:r>
    </w:p>
    <w:p w14:paraId="0D37ABC3">
      <w:pPr>
        <w:autoSpaceDE w:val="0"/>
        <w:autoSpaceDN w:val="0"/>
        <w:adjustRightInd w:val="0"/>
        <w:spacing w:line="216" w:lineRule="auto"/>
        <w:ind w:left="-57" w:right="-57" w:firstLine="39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3.2.4. КЛІЄНТ робить заяви щодо сертифікації у відповідності до сфери сертифікації. </w:t>
      </w:r>
    </w:p>
    <w:p w14:paraId="4BFC240D">
      <w:pPr>
        <w:autoSpaceDE w:val="0"/>
        <w:autoSpaceDN w:val="0"/>
        <w:adjustRightInd w:val="0"/>
        <w:spacing w:line="216" w:lineRule="auto"/>
        <w:ind w:left="-57" w:right="-57" w:firstLine="39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3.2.5. КЛІЄНТ не використовує сертифікацію продукції у такий спосіб, щоб зашкодити репутації </w:t>
      </w:r>
      <w:r>
        <w:rPr>
          <w:bCs/>
          <w:sz w:val="22"/>
          <w:szCs w:val="22"/>
        </w:rPr>
        <w:t>ВИКОНАВЦЯ</w:t>
      </w:r>
      <w:r>
        <w:rPr>
          <w:sz w:val="22"/>
          <w:szCs w:val="22"/>
        </w:rPr>
        <w:t xml:space="preserve">, і не робить будь-яких заяв щодо сертифікації продукції, які </w:t>
      </w:r>
      <w:r>
        <w:rPr>
          <w:bCs/>
          <w:sz w:val="22"/>
          <w:szCs w:val="22"/>
        </w:rPr>
        <w:t>ВИКОНАВЕЦЬ</w:t>
      </w:r>
      <w:r>
        <w:rPr>
          <w:sz w:val="22"/>
          <w:szCs w:val="22"/>
        </w:rPr>
        <w:t xml:space="preserve"> може розглядати як такі, що вводять в оману або є несанкціоновані.</w:t>
      </w:r>
    </w:p>
    <w:p w14:paraId="324FDFFD">
      <w:pPr>
        <w:autoSpaceDE w:val="0"/>
        <w:autoSpaceDN w:val="0"/>
        <w:adjustRightInd w:val="0"/>
        <w:spacing w:line="216" w:lineRule="auto"/>
        <w:ind w:left="-57" w:right="-57" w:firstLine="397"/>
        <w:jc w:val="both"/>
        <w:rPr>
          <w:sz w:val="22"/>
          <w:szCs w:val="22"/>
        </w:rPr>
      </w:pPr>
      <w:r>
        <w:rPr>
          <w:sz w:val="22"/>
          <w:szCs w:val="22"/>
        </w:rPr>
        <w:t>3.2.6. У випадку призупинення, скасування або закінчення терміну дії сертифікації, КЛІЄНТ припиняє використання всіх рекламних матеріалів, що містять будь-яке посилання на сертифікацію і вживає заходів, які вимагає схема сертифікації (наприклад, повернення сертифікаційних документів) та виконує будь-які інші необхідні дії.</w:t>
      </w:r>
    </w:p>
    <w:p w14:paraId="48036AF8">
      <w:pPr>
        <w:autoSpaceDE w:val="0"/>
        <w:autoSpaceDN w:val="0"/>
        <w:adjustRightInd w:val="0"/>
        <w:spacing w:line="216" w:lineRule="auto"/>
        <w:ind w:left="-57" w:right="-57" w:firstLine="397"/>
        <w:jc w:val="both"/>
        <w:rPr>
          <w:sz w:val="22"/>
          <w:szCs w:val="22"/>
        </w:rPr>
      </w:pPr>
      <w:r>
        <w:rPr>
          <w:sz w:val="22"/>
          <w:szCs w:val="22"/>
        </w:rPr>
        <w:t>3.2.7. Якщо КЛІЄНТ надає копії сертифікаційних документів іншим сторонам, документи повинні бути відтворені в їх цілісності або як це визначено схемою сертифікації.</w:t>
      </w:r>
    </w:p>
    <w:p w14:paraId="4A6E97BD">
      <w:pPr>
        <w:autoSpaceDE w:val="0"/>
        <w:autoSpaceDN w:val="0"/>
        <w:adjustRightInd w:val="0"/>
        <w:spacing w:line="216" w:lineRule="auto"/>
        <w:ind w:left="-57" w:right="-57" w:firstLine="397"/>
        <w:jc w:val="both"/>
        <w:rPr>
          <w:sz w:val="22"/>
          <w:szCs w:val="22"/>
        </w:rPr>
      </w:pPr>
      <w:r>
        <w:rPr>
          <w:sz w:val="22"/>
          <w:szCs w:val="22"/>
        </w:rPr>
        <w:t>3.2.8. Посилаючись на сертифікацію своєї</w:t>
      </w:r>
      <w:r>
        <w:t xml:space="preserve"> </w:t>
      </w:r>
      <w:r>
        <w:rPr>
          <w:sz w:val="22"/>
          <w:szCs w:val="22"/>
        </w:rPr>
        <w:t xml:space="preserve">продукції в засобах інформації, таких як документи, брошури чи рекламні матеріали, КЛІЄНТ виконує вимоги </w:t>
      </w:r>
      <w:r>
        <w:rPr>
          <w:bCs/>
          <w:sz w:val="22"/>
          <w:szCs w:val="22"/>
        </w:rPr>
        <w:t>ВИКОНАВЦЯ</w:t>
      </w:r>
      <w:r>
        <w:rPr>
          <w:sz w:val="22"/>
          <w:szCs w:val="22"/>
        </w:rPr>
        <w:t xml:space="preserve"> або вимоги, визначеним схемою сертифікації;</w:t>
      </w:r>
    </w:p>
    <w:p w14:paraId="5CE9D160">
      <w:pPr>
        <w:autoSpaceDE w:val="0"/>
        <w:autoSpaceDN w:val="0"/>
        <w:adjustRightInd w:val="0"/>
        <w:spacing w:line="216" w:lineRule="auto"/>
        <w:ind w:left="-57" w:right="-57" w:firstLine="397"/>
        <w:jc w:val="both"/>
        <w:rPr>
          <w:sz w:val="22"/>
          <w:szCs w:val="22"/>
        </w:rPr>
      </w:pPr>
      <w:r>
        <w:rPr>
          <w:sz w:val="22"/>
          <w:szCs w:val="22"/>
        </w:rPr>
        <w:t>3.2.9. КЛІЄНТ виконує усі вимоги, що можуть бути визначені схемою сертифікації щодо використання знаку відповідності та інформації стосовно продукції.</w:t>
      </w:r>
    </w:p>
    <w:p w14:paraId="57B377EB">
      <w:pPr>
        <w:autoSpaceDE w:val="0"/>
        <w:autoSpaceDN w:val="0"/>
        <w:adjustRightInd w:val="0"/>
        <w:spacing w:line="216" w:lineRule="auto"/>
        <w:ind w:left="-57" w:right="-57" w:firstLine="39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3.2.10. КЛІЄНТ зберігає записи щодо всіх відомих йому скарг, що стосуються відповідності сертифікаційним вимогам, та робить ці записи доступними </w:t>
      </w:r>
      <w:r>
        <w:rPr>
          <w:bCs/>
          <w:sz w:val="22"/>
          <w:szCs w:val="22"/>
        </w:rPr>
        <w:t>ВИКОНАВЦЮ</w:t>
      </w:r>
      <w:r>
        <w:rPr>
          <w:sz w:val="22"/>
          <w:szCs w:val="22"/>
        </w:rPr>
        <w:t>, за необхідності, і</w:t>
      </w:r>
    </w:p>
    <w:p w14:paraId="64579401">
      <w:pPr>
        <w:autoSpaceDE w:val="0"/>
        <w:autoSpaceDN w:val="0"/>
        <w:adjustRightInd w:val="0"/>
        <w:spacing w:line="216" w:lineRule="auto"/>
        <w:ind w:left="-57" w:right="-57" w:firstLine="397"/>
        <w:jc w:val="both"/>
        <w:rPr>
          <w:sz w:val="22"/>
          <w:szCs w:val="22"/>
        </w:rPr>
      </w:pPr>
      <w:r>
        <w:rPr>
          <w:sz w:val="22"/>
          <w:szCs w:val="22"/>
        </w:rPr>
        <w:t>1) вживає необхідних заходів щодо таких скарг і будь-яких недоліків, виявлених у продукції, що впливають на відповідність сертифікаційним вимогам;</w:t>
      </w:r>
    </w:p>
    <w:p w14:paraId="50E5C087">
      <w:pPr>
        <w:autoSpaceDE w:val="0"/>
        <w:autoSpaceDN w:val="0"/>
        <w:adjustRightInd w:val="0"/>
        <w:spacing w:line="216" w:lineRule="auto"/>
        <w:ind w:left="-57" w:right="-57" w:firstLine="397"/>
        <w:jc w:val="both"/>
        <w:rPr>
          <w:sz w:val="22"/>
          <w:szCs w:val="22"/>
        </w:rPr>
      </w:pPr>
      <w:r>
        <w:rPr>
          <w:sz w:val="22"/>
          <w:szCs w:val="22"/>
        </w:rPr>
        <w:t>2) документує виконані дії;</w:t>
      </w:r>
    </w:p>
    <w:p w14:paraId="20EB2A00">
      <w:pPr>
        <w:autoSpaceDE w:val="0"/>
        <w:autoSpaceDN w:val="0"/>
        <w:adjustRightInd w:val="0"/>
        <w:spacing w:line="216" w:lineRule="auto"/>
        <w:ind w:left="-57" w:right="-57" w:firstLine="397"/>
        <w:jc w:val="both"/>
        <w:rPr>
          <w:lang w:val="uk-UA"/>
        </w:rPr>
      </w:pPr>
      <w:r>
        <w:rPr>
          <w:sz w:val="22"/>
          <w:szCs w:val="22"/>
        </w:rPr>
        <w:t xml:space="preserve">3.2.11. КЛІЄНТ невідкладно повідомляє </w:t>
      </w:r>
      <w:r>
        <w:rPr>
          <w:bCs/>
          <w:sz w:val="22"/>
          <w:szCs w:val="22"/>
        </w:rPr>
        <w:t>ВИКОНАВЦЮ</w:t>
      </w:r>
      <w:r>
        <w:rPr>
          <w:sz w:val="22"/>
          <w:szCs w:val="22"/>
        </w:rPr>
        <w:t xml:space="preserve"> про зміни, які можуть вплинути на його здатність відповідати сертифікаційним вимогам</w:t>
      </w:r>
      <w:r>
        <w:rPr>
          <w:sz w:val="22"/>
          <w:szCs w:val="22"/>
          <w:lang w:val="uk-UA"/>
        </w:rPr>
        <w:t>:</w:t>
      </w:r>
    </w:p>
    <w:p w14:paraId="003BAEFE">
      <w:pPr>
        <w:autoSpaceDE w:val="0"/>
        <w:autoSpaceDN w:val="0"/>
        <w:adjustRightInd w:val="0"/>
        <w:spacing w:line="216" w:lineRule="auto"/>
        <w:ind w:left="-57" w:right="-57" w:firstLine="397"/>
        <w:jc w:val="both"/>
      </w:pPr>
      <w:r>
        <w:t>- юридичний, комерційний, організаційний статус або право власності;</w:t>
      </w:r>
    </w:p>
    <w:p w14:paraId="2066EC5D">
      <w:pPr>
        <w:autoSpaceDE w:val="0"/>
        <w:autoSpaceDN w:val="0"/>
        <w:adjustRightInd w:val="0"/>
        <w:spacing w:line="216" w:lineRule="auto"/>
        <w:ind w:left="-57" w:right="-57" w:firstLine="397"/>
        <w:jc w:val="both"/>
      </w:pPr>
      <w:r>
        <w:t>- організація та керівництво (наприклад, ключові керівники, персонал);</w:t>
      </w:r>
    </w:p>
    <w:p w14:paraId="79ED22E0">
      <w:pPr>
        <w:autoSpaceDE w:val="0"/>
        <w:autoSpaceDN w:val="0"/>
        <w:adjustRightInd w:val="0"/>
        <w:spacing w:line="216" w:lineRule="auto"/>
        <w:ind w:left="-57" w:right="-57" w:firstLine="397"/>
        <w:jc w:val="both"/>
      </w:pPr>
      <w:r>
        <w:t>- модифікації продукції або виробничого процесу;</w:t>
      </w:r>
    </w:p>
    <w:p w14:paraId="20113EC0">
      <w:pPr>
        <w:autoSpaceDE w:val="0"/>
        <w:autoSpaceDN w:val="0"/>
        <w:adjustRightInd w:val="0"/>
        <w:spacing w:line="216" w:lineRule="auto"/>
        <w:ind w:left="-57" w:right="-57" w:firstLine="397"/>
        <w:jc w:val="both"/>
      </w:pPr>
      <w:r>
        <w:t>- контактна адреса і виробничі дільниці;</w:t>
      </w:r>
    </w:p>
    <w:p w14:paraId="06EF0F1B">
      <w:pPr>
        <w:autoSpaceDE w:val="0"/>
        <w:autoSpaceDN w:val="0"/>
        <w:adjustRightInd w:val="0"/>
        <w:spacing w:line="216" w:lineRule="auto"/>
        <w:ind w:left="-57" w:right="-57" w:firstLine="397"/>
        <w:jc w:val="both"/>
      </w:pPr>
      <w:r>
        <w:t>- суттєві зміни в системі управління якістю.</w:t>
      </w:r>
    </w:p>
    <w:p w14:paraId="48730D69">
      <w:pPr>
        <w:shd w:val="clear" w:color="auto" w:fill="FFFFFF"/>
        <w:autoSpaceDE w:val="0"/>
        <w:autoSpaceDN w:val="0"/>
        <w:adjustRightInd w:val="0"/>
        <w:spacing w:line="216" w:lineRule="auto"/>
        <w:ind w:left="-57" w:right="-57" w:firstLine="397"/>
        <w:jc w:val="center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4. ВІДПОВІДАЛЬНІСТЬ СТОРІН</w:t>
      </w:r>
    </w:p>
    <w:p w14:paraId="128C62B9">
      <w:pPr>
        <w:shd w:val="clear" w:color="auto" w:fill="FFFFFF"/>
        <w:autoSpaceDE w:val="0"/>
        <w:autoSpaceDN w:val="0"/>
        <w:adjustRightInd w:val="0"/>
        <w:spacing w:line="216" w:lineRule="auto"/>
        <w:ind w:left="-57" w:right="-57" w:firstLine="397"/>
        <w:jc w:val="both"/>
        <w:rPr>
          <w:color w:val="000000"/>
          <w:spacing w:val="-2"/>
          <w:sz w:val="22"/>
          <w:szCs w:val="22"/>
        </w:rPr>
      </w:pPr>
      <w:r>
        <w:rPr>
          <w:color w:val="000000"/>
          <w:spacing w:val="-2"/>
          <w:sz w:val="22"/>
          <w:szCs w:val="22"/>
        </w:rPr>
        <w:t>4.1. За невиконання або неналежне виконання зобов’язань за цією угодою ВИКОНАВЕЦЬ та</w:t>
      </w:r>
      <w:r>
        <w:rPr>
          <w:color w:val="000000"/>
          <w:sz w:val="22"/>
          <w:szCs w:val="22"/>
        </w:rPr>
        <w:t xml:space="preserve"> </w:t>
      </w:r>
      <w:r>
        <w:rPr>
          <w:sz w:val="22"/>
          <w:szCs w:val="22"/>
        </w:rPr>
        <w:t>КЛІЄНТ</w:t>
      </w:r>
      <w:r>
        <w:rPr>
          <w:color w:val="000000"/>
          <w:spacing w:val="-2"/>
          <w:sz w:val="22"/>
          <w:szCs w:val="22"/>
        </w:rPr>
        <w:t xml:space="preserve"> несуть юридичну відповідальність згідно з чинним законодавством України.</w:t>
      </w:r>
    </w:p>
    <w:p w14:paraId="1DCCF44F">
      <w:pPr>
        <w:shd w:val="clear" w:color="auto" w:fill="FFFFFF"/>
        <w:autoSpaceDE w:val="0"/>
        <w:autoSpaceDN w:val="0"/>
        <w:adjustRightInd w:val="0"/>
        <w:spacing w:line="216" w:lineRule="auto"/>
        <w:ind w:left="-57" w:right="-57" w:firstLine="397"/>
        <w:jc w:val="both"/>
        <w:rPr>
          <w:color w:val="000000"/>
          <w:sz w:val="22"/>
          <w:szCs w:val="22"/>
        </w:rPr>
      </w:pPr>
      <w:r>
        <w:rPr>
          <w:color w:val="000000"/>
          <w:spacing w:val="-4"/>
          <w:sz w:val="22"/>
          <w:szCs w:val="22"/>
        </w:rPr>
        <w:t xml:space="preserve">4.2. </w:t>
      </w:r>
      <w:r>
        <w:rPr>
          <w:sz w:val="22"/>
          <w:szCs w:val="22"/>
        </w:rPr>
        <w:t>КЛІЄНТ</w:t>
      </w:r>
      <w:r>
        <w:rPr>
          <w:color w:val="000000"/>
          <w:sz w:val="22"/>
          <w:szCs w:val="22"/>
        </w:rPr>
        <w:t xml:space="preserve"> і ВИКОНАВЕЦЬ частково або повністю звільняються від виконання своїх обов’язків за цією угодою при виникненні форс-мажорних обставин, передбачити які </w:t>
      </w:r>
      <w:r>
        <w:rPr>
          <w:color w:val="000000"/>
          <w:spacing w:val="-4"/>
          <w:sz w:val="22"/>
          <w:szCs w:val="22"/>
        </w:rPr>
        <w:t>неможливо на час її підписання, або які унеможливлюють подальше його виконання</w:t>
      </w:r>
    </w:p>
    <w:p w14:paraId="78D25960">
      <w:pPr>
        <w:shd w:val="clear" w:color="auto" w:fill="FFFFFF"/>
        <w:autoSpaceDE w:val="0"/>
        <w:autoSpaceDN w:val="0"/>
        <w:adjustRightInd w:val="0"/>
        <w:spacing w:line="216" w:lineRule="auto"/>
        <w:ind w:left="-57" w:right="-57" w:firstLine="397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4.3. В разі виникнення форс-мажорних обставин СТОРОНА, у якої вони виникли, повинна повідомити про це іншу СТОРОНУ не пізніше 10 днів з дня виникнення таких обставин.</w:t>
      </w:r>
    </w:p>
    <w:p w14:paraId="3C9651B2">
      <w:pPr>
        <w:shd w:val="clear" w:color="auto" w:fill="FFFFFF"/>
        <w:autoSpaceDE w:val="0"/>
        <w:autoSpaceDN w:val="0"/>
        <w:adjustRightInd w:val="0"/>
        <w:spacing w:line="216" w:lineRule="auto"/>
        <w:ind w:left="-57" w:right="-57" w:firstLine="397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4.4. СТОРОНИ будуть вживати всіх заходів для вирішення шляхом переговорів будь-яких суперечок та розбіжностей, що виникають під час виконання зобов’язань по </w:t>
      </w:r>
      <w:r>
        <w:rPr>
          <w:color w:val="000000"/>
          <w:spacing w:val="-2"/>
          <w:sz w:val="22"/>
          <w:szCs w:val="22"/>
        </w:rPr>
        <w:t>цій угоді</w:t>
      </w:r>
      <w:r>
        <w:rPr>
          <w:color w:val="000000"/>
          <w:sz w:val="22"/>
          <w:szCs w:val="22"/>
        </w:rPr>
        <w:t>.</w:t>
      </w:r>
    </w:p>
    <w:p w14:paraId="40008374">
      <w:pPr>
        <w:spacing w:line="216" w:lineRule="auto"/>
        <w:ind w:left="-57" w:right="-57" w:firstLine="397"/>
        <w:jc w:val="both"/>
        <w:rPr>
          <w:color w:val="000000"/>
          <w:sz w:val="22"/>
          <w:szCs w:val="22"/>
        </w:rPr>
      </w:pPr>
      <w:r>
        <w:rPr>
          <w:color w:val="000000"/>
          <w:spacing w:val="-4"/>
          <w:sz w:val="22"/>
          <w:szCs w:val="22"/>
        </w:rPr>
        <w:t xml:space="preserve">4.5. Всі інші питання за зобов’язаннями </w:t>
      </w:r>
      <w:r>
        <w:rPr>
          <w:sz w:val="22"/>
          <w:szCs w:val="22"/>
        </w:rPr>
        <w:t>КЛІЄНТА</w:t>
      </w:r>
      <w:r>
        <w:rPr>
          <w:color w:val="000000"/>
          <w:spacing w:val="-4"/>
          <w:sz w:val="22"/>
          <w:szCs w:val="22"/>
        </w:rPr>
        <w:t xml:space="preserve"> та ВИКОНАВЦЯ, не зазначені</w:t>
      </w:r>
      <w:r>
        <w:rPr>
          <w:color w:val="000000"/>
          <w:sz w:val="22"/>
          <w:szCs w:val="22"/>
        </w:rPr>
        <w:t xml:space="preserve"> цією угодою, будуть врегульовуватися відповідно до чинного законодавства України.</w:t>
      </w:r>
    </w:p>
    <w:p w14:paraId="1EF584F6">
      <w:pPr>
        <w:spacing w:line="216" w:lineRule="auto"/>
        <w:ind w:left="-57" w:right="-57" w:firstLine="397"/>
        <w:jc w:val="both"/>
        <w:rPr>
          <w:sz w:val="22"/>
          <w:szCs w:val="22"/>
        </w:rPr>
      </w:pPr>
      <w:r>
        <w:rPr>
          <w:sz w:val="22"/>
          <w:szCs w:val="22"/>
        </w:rPr>
        <w:t>4.6. Сторони погодились, що текст цього Договору, будь-які матеріали, інформація та відомості, що стосуються цього Договору, є конфіденційними та не можуть передаватися третім особам без попередньої письмової згоди відповідної Сторони за цим Договором, крім випадків, коли така передача пов’язана з отриманням офіційних дозволів, документів для виконання цього Договору чи сплати податків, інших обов’язкових платежів, а також у випадках, передбачених чинним законодавством України.</w:t>
      </w:r>
    </w:p>
    <w:p w14:paraId="7DF608D1">
      <w:pPr>
        <w:spacing w:line="216" w:lineRule="auto"/>
        <w:ind w:left="-57" w:right="-57" w:firstLine="397"/>
        <w:jc w:val="both"/>
        <w:rPr>
          <w:color w:val="FF0000"/>
          <w:sz w:val="22"/>
          <w:szCs w:val="22"/>
          <w:lang w:val="uk-UA"/>
        </w:rPr>
      </w:pPr>
      <w:r>
        <w:rPr>
          <w:sz w:val="22"/>
          <w:szCs w:val="22"/>
          <w:lang w:val="uk-UA"/>
        </w:rPr>
        <w:t xml:space="preserve">4.7 </w:t>
      </w:r>
      <w:r>
        <w:rPr>
          <w:sz w:val="22"/>
          <w:szCs w:val="22"/>
        </w:rPr>
        <w:t>ВИКОНАВ</w:t>
      </w:r>
      <w:r>
        <w:rPr>
          <w:sz w:val="22"/>
          <w:szCs w:val="22"/>
          <w:lang w:val="uk-UA"/>
        </w:rPr>
        <w:t>ЕЦЬ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lang w:val="uk-UA"/>
        </w:rPr>
        <w:t>може надавати</w:t>
      </w:r>
      <w:r>
        <w:rPr>
          <w:sz w:val="22"/>
          <w:szCs w:val="22"/>
        </w:rPr>
        <w:t xml:space="preserve"> інформацію про сертифікат відповідності</w:t>
      </w:r>
      <w:r>
        <w:rPr>
          <w:sz w:val="22"/>
          <w:szCs w:val="22"/>
          <w:lang w:val="uk-UA"/>
        </w:rPr>
        <w:t xml:space="preserve"> до Міністерства економічного розвитку України, а також</w:t>
      </w:r>
      <w:r>
        <w:rPr>
          <w:sz w:val="22"/>
          <w:szCs w:val="22"/>
        </w:rPr>
        <w:t xml:space="preserve"> до підприємства, що належить до сфери управління Міністерства інфраструктури України, для внесення інформації до Державного реєстру сертифікатів відповідності транспортних засобів або обладнання.</w:t>
      </w:r>
      <w:r>
        <w:rPr>
          <w:color w:val="FF0000"/>
          <w:sz w:val="22"/>
          <w:szCs w:val="22"/>
          <w:lang w:val="uk-UA"/>
        </w:rPr>
        <w:t xml:space="preserve"> </w:t>
      </w:r>
    </w:p>
    <w:p w14:paraId="7B318AF5">
      <w:pPr>
        <w:shd w:val="clear" w:color="auto" w:fill="FFFFFF"/>
        <w:spacing w:line="216" w:lineRule="auto"/>
        <w:ind w:left="-57" w:right="-57" w:firstLine="397"/>
        <w:jc w:val="center"/>
        <w:rPr>
          <w:b/>
          <w:sz w:val="22"/>
          <w:szCs w:val="22"/>
          <w:lang w:val="uk-UA"/>
        </w:rPr>
      </w:pPr>
      <w:r>
        <w:rPr>
          <w:b/>
          <w:sz w:val="22"/>
          <w:szCs w:val="22"/>
          <w:lang w:val="uk-UA"/>
        </w:rPr>
        <w:t>5. ПОРЯДОК ЗДАЧІ І ПРИЙМАННЯ РОБІТ</w:t>
      </w:r>
    </w:p>
    <w:p w14:paraId="57CCA7C8">
      <w:pPr>
        <w:shd w:val="clear" w:color="auto" w:fill="FFFFFF"/>
        <w:spacing w:line="216" w:lineRule="auto"/>
        <w:ind w:left="-57" w:right="-57" w:firstLine="397"/>
        <w:jc w:val="both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 xml:space="preserve">5.1. Термін виконання робіт згідно заявки КЛІЄНТА становить не більше 30 календарних      днів з моменту отримання </w:t>
      </w:r>
      <w:r>
        <w:rPr>
          <w:color w:val="000000"/>
          <w:spacing w:val="-2"/>
          <w:sz w:val="22"/>
          <w:szCs w:val="22"/>
          <w:lang w:val="uk-UA"/>
        </w:rPr>
        <w:t>ВИКОНАВЦЕМ</w:t>
      </w:r>
      <w:r>
        <w:rPr>
          <w:sz w:val="22"/>
          <w:szCs w:val="22"/>
          <w:lang w:val="uk-UA"/>
        </w:rPr>
        <w:t xml:space="preserve"> всіх необхідних документів та матеріалів.</w:t>
      </w:r>
    </w:p>
    <w:p w14:paraId="72E2D94A">
      <w:pPr>
        <w:shd w:val="clear" w:color="auto" w:fill="FFFFFF"/>
        <w:tabs>
          <w:tab w:val="left" w:pos="1133"/>
        </w:tabs>
        <w:spacing w:line="216" w:lineRule="auto"/>
        <w:ind w:left="-57" w:right="-57" w:firstLine="397"/>
        <w:jc w:val="both"/>
        <w:rPr>
          <w:spacing w:val="-9"/>
          <w:sz w:val="22"/>
          <w:szCs w:val="22"/>
        </w:rPr>
      </w:pPr>
      <w:r>
        <w:rPr>
          <w:sz w:val="22"/>
          <w:szCs w:val="22"/>
        </w:rPr>
        <w:t xml:space="preserve">5.2. Підписання сторонами  Акту прийомки-здачі свідчить про відсутність претензій сторін щодо виконання обов’язків за </w:t>
      </w:r>
      <w:r>
        <w:rPr>
          <w:color w:val="000000"/>
          <w:sz w:val="22"/>
          <w:szCs w:val="22"/>
        </w:rPr>
        <w:t>цією угодою</w:t>
      </w:r>
      <w:r>
        <w:rPr>
          <w:sz w:val="22"/>
          <w:szCs w:val="22"/>
        </w:rPr>
        <w:t>.</w:t>
      </w:r>
    </w:p>
    <w:p w14:paraId="4B097D96">
      <w:pPr>
        <w:shd w:val="clear" w:color="auto" w:fill="FFFFFF"/>
        <w:tabs>
          <w:tab w:val="left" w:pos="1133"/>
        </w:tabs>
        <w:spacing w:line="216" w:lineRule="auto"/>
        <w:ind w:left="-57" w:right="-57" w:firstLine="397"/>
        <w:jc w:val="both"/>
        <w:rPr>
          <w:spacing w:val="-5"/>
          <w:sz w:val="22"/>
          <w:szCs w:val="22"/>
        </w:rPr>
      </w:pPr>
      <w:r>
        <w:rPr>
          <w:spacing w:val="-1"/>
          <w:sz w:val="22"/>
          <w:szCs w:val="22"/>
        </w:rPr>
        <w:t xml:space="preserve">5.3. При необхідності заміни одних видів робіт іншими або при необхідності виконання додаткових </w:t>
      </w:r>
      <w:r>
        <w:rPr>
          <w:sz w:val="22"/>
          <w:szCs w:val="22"/>
        </w:rPr>
        <w:t xml:space="preserve">робіт, укладається додаткова угода між </w:t>
      </w:r>
      <w:r>
        <w:rPr>
          <w:color w:val="000000"/>
          <w:sz w:val="22"/>
          <w:szCs w:val="22"/>
        </w:rPr>
        <w:t>СТОРОНАМИ</w:t>
      </w:r>
      <w:r>
        <w:rPr>
          <w:sz w:val="22"/>
          <w:szCs w:val="22"/>
        </w:rPr>
        <w:t xml:space="preserve"> з відповідною зміною договірної ціни.</w:t>
      </w:r>
    </w:p>
    <w:p w14:paraId="0D8F8465">
      <w:pPr>
        <w:shd w:val="clear" w:color="auto" w:fill="FFFFFF"/>
        <w:tabs>
          <w:tab w:val="left" w:pos="1133"/>
        </w:tabs>
        <w:spacing w:line="216" w:lineRule="auto"/>
        <w:ind w:left="-57" w:right="-57" w:firstLine="397"/>
        <w:jc w:val="both"/>
        <w:rPr>
          <w:spacing w:val="-8"/>
          <w:sz w:val="22"/>
          <w:szCs w:val="22"/>
        </w:rPr>
      </w:pPr>
      <w:r>
        <w:rPr>
          <w:sz w:val="22"/>
          <w:szCs w:val="22"/>
        </w:rPr>
        <w:t xml:space="preserve">5.4. При виявленні в процесі робіт негативного результату або недоцільності подальшого </w:t>
      </w:r>
      <w:r>
        <w:rPr>
          <w:spacing w:val="-1"/>
          <w:sz w:val="22"/>
          <w:szCs w:val="22"/>
        </w:rPr>
        <w:t xml:space="preserve">виконання робіт, </w:t>
      </w:r>
      <w:r>
        <w:rPr>
          <w:color w:val="000000"/>
          <w:spacing w:val="-2"/>
          <w:sz w:val="22"/>
          <w:szCs w:val="22"/>
        </w:rPr>
        <w:t>ВИКОНАВЕЦЬ</w:t>
      </w:r>
      <w:r>
        <w:rPr>
          <w:spacing w:val="-1"/>
          <w:sz w:val="22"/>
          <w:szCs w:val="22"/>
        </w:rPr>
        <w:t xml:space="preserve"> повинен призупинити роботи та проінформувати </w:t>
      </w:r>
      <w:r>
        <w:rPr>
          <w:sz w:val="22"/>
          <w:szCs w:val="22"/>
        </w:rPr>
        <w:t>КЛІЄНТА</w:t>
      </w:r>
      <w:r>
        <w:rPr>
          <w:spacing w:val="-1"/>
          <w:sz w:val="22"/>
          <w:szCs w:val="22"/>
        </w:rPr>
        <w:t xml:space="preserve"> протягом 3-х </w:t>
      </w:r>
      <w:r>
        <w:rPr>
          <w:sz w:val="22"/>
          <w:szCs w:val="22"/>
        </w:rPr>
        <w:t xml:space="preserve">днів з дня призупинення робіт. </w:t>
      </w:r>
      <w:r>
        <w:rPr>
          <w:color w:val="000000"/>
          <w:sz w:val="22"/>
          <w:szCs w:val="22"/>
        </w:rPr>
        <w:t>СТОРОНИ</w:t>
      </w:r>
      <w:r>
        <w:rPr>
          <w:sz w:val="22"/>
          <w:szCs w:val="22"/>
        </w:rPr>
        <w:t xml:space="preserve"> повинні разом розглянути питання про доцільність продовження робіт. Оплата в цьому випадку сплачується за фактично виконану роботу.</w:t>
      </w:r>
    </w:p>
    <w:p w14:paraId="67BD0091">
      <w:pPr>
        <w:spacing w:line="216" w:lineRule="auto"/>
        <w:ind w:left="-57" w:right="-57" w:firstLine="397"/>
        <w:jc w:val="center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 6. ТЕРМІН ДІЇ УГОДИ ТА ЮРИДИЧНІ АДРЕСИ СТОРІН </w:t>
      </w:r>
    </w:p>
    <w:p w14:paraId="0D4CA737">
      <w:pPr>
        <w:spacing w:line="216" w:lineRule="auto"/>
        <w:ind w:left="-57" w:right="-57" w:firstLine="397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6.1. </w:t>
      </w:r>
      <w:r>
        <w:rPr>
          <w:bCs/>
          <w:color w:val="000000"/>
          <w:sz w:val="22"/>
          <w:szCs w:val="22"/>
        </w:rPr>
        <w:t>СЕРТИФІКАЦІЙНА УГОДА</w:t>
      </w:r>
      <w:r>
        <w:rPr>
          <w:color w:val="000000"/>
          <w:sz w:val="22"/>
          <w:szCs w:val="22"/>
        </w:rPr>
        <w:t xml:space="preserve"> складена у 2-х ідентичних примірниках українською мовою, що мають однакову юридичну силу – один примірник для кожної СТОРОНИ.</w:t>
      </w:r>
    </w:p>
    <w:p w14:paraId="3DF15BEB">
      <w:pPr>
        <w:spacing w:line="216" w:lineRule="auto"/>
        <w:ind w:left="-57" w:right="-57" w:firstLine="397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6.2. </w:t>
      </w:r>
      <w:r>
        <w:rPr>
          <w:bCs/>
          <w:color w:val="000000"/>
          <w:sz w:val="22"/>
          <w:szCs w:val="22"/>
        </w:rPr>
        <w:t>СЕРТИФІКАЦІЙНА УГОДА</w:t>
      </w:r>
      <w:r>
        <w:rPr>
          <w:color w:val="000000"/>
          <w:sz w:val="22"/>
          <w:szCs w:val="22"/>
        </w:rPr>
        <w:t xml:space="preserve"> набирає чинності з моменту її підписання ВИКОНАВЦЕМ і </w:t>
      </w:r>
      <w:r>
        <w:rPr>
          <w:sz w:val="22"/>
          <w:szCs w:val="22"/>
        </w:rPr>
        <w:t>КЛІЄНТ</w:t>
      </w:r>
      <w:r>
        <w:rPr>
          <w:color w:val="000000"/>
          <w:sz w:val="22"/>
          <w:szCs w:val="22"/>
        </w:rPr>
        <w:t xml:space="preserve">ОМ та діє до моменту виконання СТОРОНАМИ взятих на себе за цією угодою зобов’язань, або до припинення </w:t>
      </w:r>
      <w:r>
        <w:rPr>
          <w:bCs/>
          <w:color w:val="000000"/>
          <w:sz w:val="22"/>
          <w:szCs w:val="22"/>
        </w:rPr>
        <w:t>угоди</w:t>
      </w:r>
      <w:r>
        <w:rPr>
          <w:color w:val="000000"/>
          <w:sz w:val="22"/>
          <w:szCs w:val="22"/>
        </w:rPr>
        <w:t xml:space="preserve"> у випадках, передбачених чинним законодавством.</w:t>
      </w:r>
    </w:p>
    <w:p w14:paraId="7D40860E">
      <w:pPr>
        <w:spacing w:line="216" w:lineRule="auto"/>
        <w:ind w:left="-57" w:right="-57" w:firstLine="397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  <w:u w:val="single"/>
        </w:rPr>
        <w:t>ВИКОНАВЕЦЬ</w:t>
      </w:r>
      <w:r>
        <w:rPr>
          <w:b/>
          <w:color w:val="000000"/>
          <w:spacing w:val="-4"/>
          <w:sz w:val="22"/>
          <w:szCs w:val="22"/>
          <w:u w:val="single"/>
        </w:rPr>
        <w:t>:</w:t>
      </w:r>
      <w:r>
        <w:rPr>
          <w:bCs/>
          <w:color w:val="000000"/>
          <w:spacing w:val="-4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 xml:space="preserve"> </w:t>
      </w:r>
    </w:p>
    <w:p w14:paraId="773CF34D">
      <w:pPr>
        <w:spacing w:line="216" w:lineRule="auto"/>
        <w:ind w:left="-57" w:right="-57" w:firstLine="397"/>
        <w:jc w:val="both"/>
        <w:rPr>
          <w:sz w:val="22"/>
          <w:szCs w:val="22"/>
          <w:lang w:val="uk-UA"/>
        </w:rPr>
      </w:pPr>
    </w:p>
    <w:p w14:paraId="3D97B54D">
      <w:pPr>
        <w:spacing w:line="216" w:lineRule="auto"/>
        <w:ind w:left="-57" w:right="-57" w:firstLine="397"/>
        <w:jc w:val="both"/>
        <w:rPr>
          <w:sz w:val="22"/>
          <w:szCs w:val="22"/>
          <w:lang w:val="uk-UA"/>
        </w:rPr>
      </w:pPr>
    </w:p>
    <w:p w14:paraId="1BD44C6D">
      <w:pPr>
        <w:spacing w:line="216" w:lineRule="auto"/>
        <w:ind w:left="-57" w:right="-57" w:firstLine="397"/>
        <w:jc w:val="both"/>
        <w:rPr>
          <w:color w:val="000000"/>
          <w:spacing w:val="-6"/>
          <w:lang w:val="en-US"/>
        </w:rPr>
      </w:pPr>
      <w:r>
        <w:rPr>
          <w:u w:val="single"/>
        </w:rPr>
        <w:t>КЛІЄНТ</w:t>
      </w:r>
      <w:r>
        <w:rPr>
          <w:color w:val="000000"/>
          <w:u w:val="single"/>
        </w:rPr>
        <w:t>:</w:t>
      </w:r>
      <w:r>
        <w:rPr>
          <w:color w:val="000000"/>
        </w:rPr>
        <w:t xml:space="preserve"> </w:t>
      </w:r>
      <w:r>
        <w:rPr>
          <w:sz w:val="22"/>
          <w:szCs w:val="22"/>
          <w:lang w:val="uk-UA"/>
        </w:rPr>
        <w:t>____________________</w:t>
      </w:r>
    </w:p>
    <w:p w14:paraId="7AF804A9">
      <w:pPr>
        <w:shd w:val="clear" w:color="auto" w:fill="FFFFFF"/>
        <w:suppressAutoHyphens w:val="0"/>
        <w:autoSpaceDE w:val="0"/>
        <w:ind w:left="60"/>
        <w:jc w:val="both"/>
        <w:rPr>
          <w:sz w:val="24"/>
          <w:szCs w:val="24"/>
          <w:lang w:val="uk-UA" w:eastAsia="ru-RU"/>
        </w:rPr>
      </w:pPr>
    </w:p>
    <w:tbl>
      <w:tblPr>
        <w:tblStyle w:val="11"/>
        <w:tblW w:w="9495" w:type="dxa"/>
        <w:tblInd w:w="-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8"/>
        <w:gridCol w:w="587"/>
        <w:gridCol w:w="4740"/>
      </w:tblGrid>
      <w:tr w14:paraId="444E29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4168" w:type="dxa"/>
            <w:shd w:val="clear" w:color="auto" w:fill="auto"/>
          </w:tcPr>
          <w:p w14:paraId="797A9B88">
            <w:pPr>
              <w:suppressAutoHyphens w:val="0"/>
              <w:autoSpaceDE w:val="0"/>
              <w:snapToGrid w:val="0"/>
              <w:jc w:val="both"/>
              <w:rPr>
                <w:b/>
                <w:sz w:val="24"/>
                <w:szCs w:val="24"/>
                <w:lang w:val="uk-UA" w:eastAsia="ru-RU"/>
              </w:rPr>
            </w:pPr>
            <w:r>
              <w:rPr>
                <w:b/>
                <w:sz w:val="24"/>
                <w:szCs w:val="24"/>
                <w:lang w:val="uk-UA" w:eastAsia="ru-RU"/>
              </w:rPr>
              <w:t xml:space="preserve">Від органу з оцінки відповідності – </w:t>
            </w:r>
          </w:p>
        </w:tc>
        <w:tc>
          <w:tcPr>
            <w:tcW w:w="587" w:type="dxa"/>
            <w:shd w:val="clear" w:color="auto" w:fill="auto"/>
          </w:tcPr>
          <w:p w14:paraId="5E335DAF">
            <w:pPr>
              <w:suppressAutoHyphens w:val="0"/>
              <w:autoSpaceDE w:val="0"/>
              <w:snapToGrid w:val="0"/>
              <w:jc w:val="both"/>
              <w:rPr>
                <w:b/>
                <w:sz w:val="24"/>
                <w:szCs w:val="24"/>
                <w:lang w:val="uk-UA" w:eastAsia="ru-RU"/>
              </w:rPr>
            </w:pPr>
          </w:p>
        </w:tc>
        <w:tc>
          <w:tcPr>
            <w:tcW w:w="4740" w:type="dxa"/>
            <w:shd w:val="clear" w:color="auto" w:fill="auto"/>
          </w:tcPr>
          <w:p w14:paraId="2BA28C6A">
            <w:pPr>
              <w:suppressAutoHyphens w:val="0"/>
              <w:autoSpaceDE w:val="0"/>
              <w:snapToGrid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val="uk-UA" w:eastAsia="ru-RU"/>
              </w:rPr>
              <w:t>Від Заявника</w:t>
            </w:r>
          </w:p>
        </w:tc>
      </w:tr>
      <w:tr w14:paraId="0625CC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4168" w:type="dxa"/>
            <w:shd w:val="clear" w:color="auto" w:fill="auto"/>
          </w:tcPr>
          <w:p w14:paraId="3231ECB3">
            <w:pPr>
              <w:suppressAutoHyphens w:val="0"/>
              <w:autoSpaceDE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val="uk-UA" w:eastAsia="ru-RU"/>
              </w:rPr>
              <w:t xml:space="preserve">Керівник ОС ТОВ </w:t>
            </w:r>
            <w:r>
              <w:rPr>
                <w:b/>
                <w:color w:val="000000"/>
                <w:spacing w:val="18"/>
                <w:sz w:val="24"/>
                <w:szCs w:val="24"/>
                <w:lang w:val="uk-UA" w:eastAsia="ru-RU"/>
              </w:rPr>
              <w:t>«КСЦ</w:t>
            </w:r>
            <w:r>
              <w:rPr>
                <w:rFonts w:hint="default"/>
                <w:b/>
                <w:color w:val="000000"/>
                <w:spacing w:val="18"/>
                <w:sz w:val="24"/>
                <w:szCs w:val="24"/>
                <w:lang w:val="uk-UA" w:eastAsia="ru-RU"/>
              </w:rPr>
              <w:t>-КОНКОРД</w:t>
            </w:r>
            <w:bookmarkStart w:id="0" w:name="_GoBack"/>
            <w:bookmarkEnd w:id="0"/>
            <w:r>
              <w:rPr>
                <w:b/>
                <w:color w:val="000000"/>
                <w:spacing w:val="18"/>
                <w:sz w:val="24"/>
                <w:szCs w:val="24"/>
                <w:lang w:val="uk-UA" w:eastAsia="ru-RU"/>
              </w:rPr>
              <w:t>»</w:t>
            </w:r>
          </w:p>
        </w:tc>
        <w:tc>
          <w:tcPr>
            <w:tcW w:w="587" w:type="dxa"/>
            <w:shd w:val="clear" w:color="auto" w:fill="auto"/>
          </w:tcPr>
          <w:p w14:paraId="47FE3483">
            <w:pPr>
              <w:suppressAutoHyphens w:val="0"/>
              <w:autoSpaceDE w:val="0"/>
              <w:snapToGrid w:val="0"/>
              <w:jc w:val="both"/>
              <w:rPr>
                <w:b/>
                <w:sz w:val="24"/>
                <w:szCs w:val="24"/>
                <w:lang w:val="uk-UA" w:eastAsia="ru-RU"/>
              </w:rPr>
            </w:pPr>
          </w:p>
        </w:tc>
        <w:tc>
          <w:tcPr>
            <w:tcW w:w="4740" w:type="dxa"/>
            <w:shd w:val="clear" w:color="auto" w:fill="auto"/>
          </w:tcPr>
          <w:p w14:paraId="40718A78">
            <w:pPr>
              <w:rPr>
                <w:color w:val="FF0000"/>
              </w:rPr>
            </w:pPr>
          </w:p>
        </w:tc>
      </w:tr>
      <w:tr w14:paraId="7023E6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4168" w:type="dxa"/>
            <w:shd w:val="clear" w:color="auto" w:fill="auto"/>
          </w:tcPr>
          <w:p w14:paraId="75BE0957">
            <w:pPr>
              <w:suppressAutoHyphens w:val="0"/>
              <w:autoSpaceDE w:val="0"/>
              <w:snapToGrid w:val="0"/>
              <w:jc w:val="both"/>
              <w:rPr>
                <w:b/>
                <w:sz w:val="24"/>
                <w:szCs w:val="24"/>
                <w:lang w:val="uk-UA" w:eastAsia="ru-RU"/>
              </w:rPr>
            </w:pPr>
            <w:r>
              <w:rPr>
                <w:b/>
                <w:sz w:val="24"/>
                <w:szCs w:val="24"/>
                <w:lang w:val="uk-UA" w:eastAsia="ru-RU"/>
              </w:rPr>
              <w:t>Квітка Д.А.  _______________</w:t>
            </w:r>
          </w:p>
        </w:tc>
        <w:tc>
          <w:tcPr>
            <w:tcW w:w="587" w:type="dxa"/>
            <w:shd w:val="clear" w:color="auto" w:fill="auto"/>
          </w:tcPr>
          <w:p w14:paraId="50E54572">
            <w:pPr>
              <w:suppressAutoHyphens w:val="0"/>
              <w:autoSpaceDE w:val="0"/>
              <w:snapToGrid w:val="0"/>
              <w:jc w:val="both"/>
              <w:rPr>
                <w:b/>
                <w:sz w:val="24"/>
                <w:szCs w:val="24"/>
                <w:lang w:val="uk-UA" w:eastAsia="ru-RU"/>
              </w:rPr>
            </w:pPr>
          </w:p>
        </w:tc>
        <w:tc>
          <w:tcPr>
            <w:tcW w:w="4740" w:type="dxa"/>
            <w:shd w:val="clear" w:color="auto" w:fill="auto"/>
          </w:tcPr>
          <w:p w14:paraId="1FFC7BC0"/>
          <w:p w14:paraId="52BA27FF"/>
          <w:p w14:paraId="45B0CD93">
            <w:pPr>
              <w:rPr>
                <w:lang w:val="uk-UA"/>
              </w:rPr>
            </w:pPr>
          </w:p>
        </w:tc>
      </w:tr>
      <w:tr w14:paraId="10511D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4168" w:type="dxa"/>
            <w:shd w:val="clear" w:color="auto" w:fill="auto"/>
          </w:tcPr>
          <w:p w14:paraId="0D42E081">
            <w:pPr>
              <w:suppressAutoHyphens w:val="0"/>
              <w:autoSpaceDE w:val="0"/>
              <w:snapToGrid w:val="0"/>
              <w:jc w:val="both"/>
              <w:rPr>
                <w:b/>
                <w:sz w:val="24"/>
                <w:szCs w:val="24"/>
                <w:lang w:val="uk-UA" w:eastAsia="ru-RU"/>
              </w:rPr>
            </w:pPr>
          </w:p>
          <w:p w14:paraId="20AD689D">
            <w:pPr>
              <w:suppressAutoHyphens w:val="0"/>
              <w:autoSpaceDE w:val="0"/>
              <w:jc w:val="both"/>
              <w:rPr>
                <w:b/>
                <w:sz w:val="24"/>
                <w:szCs w:val="24"/>
                <w:lang w:val="uk-UA" w:eastAsia="ru-RU"/>
              </w:rPr>
            </w:pPr>
            <w:r>
              <w:rPr>
                <w:b/>
                <w:sz w:val="24"/>
                <w:szCs w:val="24"/>
                <w:lang w:val="uk-UA" w:eastAsia="ru-RU"/>
              </w:rPr>
              <w:t>М. П.</w:t>
            </w:r>
          </w:p>
        </w:tc>
        <w:tc>
          <w:tcPr>
            <w:tcW w:w="587" w:type="dxa"/>
            <w:shd w:val="clear" w:color="auto" w:fill="auto"/>
          </w:tcPr>
          <w:p w14:paraId="1A77A103">
            <w:pPr>
              <w:suppressAutoHyphens w:val="0"/>
              <w:autoSpaceDE w:val="0"/>
              <w:snapToGrid w:val="0"/>
              <w:jc w:val="both"/>
              <w:rPr>
                <w:b/>
                <w:sz w:val="24"/>
                <w:szCs w:val="24"/>
                <w:lang w:val="uk-UA" w:eastAsia="ru-RU"/>
              </w:rPr>
            </w:pPr>
          </w:p>
        </w:tc>
        <w:tc>
          <w:tcPr>
            <w:tcW w:w="4740" w:type="dxa"/>
            <w:shd w:val="clear" w:color="auto" w:fill="auto"/>
          </w:tcPr>
          <w:p w14:paraId="064AAE9E">
            <w:pPr>
              <w:suppressAutoHyphens w:val="0"/>
              <w:autoSpaceDE w:val="0"/>
              <w:snapToGrid w:val="0"/>
              <w:jc w:val="both"/>
              <w:rPr>
                <w:b/>
                <w:sz w:val="24"/>
                <w:szCs w:val="24"/>
                <w:lang w:val="uk-UA" w:eastAsia="ru-RU"/>
              </w:rPr>
            </w:pPr>
          </w:p>
          <w:p w14:paraId="5A1FA13F">
            <w:pPr>
              <w:suppressAutoHyphens w:val="0"/>
              <w:autoSpaceDE w:val="0"/>
              <w:jc w:val="both"/>
              <w:rPr>
                <w:b/>
                <w:sz w:val="24"/>
                <w:szCs w:val="24"/>
                <w:lang w:val="uk-UA" w:eastAsia="ru-RU"/>
              </w:rPr>
            </w:pPr>
          </w:p>
        </w:tc>
      </w:tr>
    </w:tbl>
    <w:p w14:paraId="12117D82">
      <w:pPr>
        <w:tabs>
          <w:tab w:val="left" w:pos="-13635"/>
        </w:tabs>
        <w:suppressAutoHyphens w:val="0"/>
        <w:ind w:left="2340" w:hanging="2340"/>
        <w:jc w:val="center"/>
        <w:rPr>
          <w:b/>
          <w:sz w:val="28"/>
          <w:szCs w:val="24"/>
          <w:lang w:val="uk-UA" w:eastAsia="ru-RU"/>
        </w:rPr>
      </w:pPr>
    </w:p>
    <w:p w14:paraId="4D5F8DBB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Arial CYR">
    <w:altName w:val="Arial"/>
    <w:panose1 w:val="020B0604020202020204"/>
    <w:charset w:val="CC"/>
    <w:family w:val="swiss"/>
    <w:pitch w:val="default"/>
    <w:sig w:usb0="00000000" w:usb1="00000000" w:usb2="00000009" w:usb3="00000000" w:csb0="000001FF" w:csb1="00000000"/>
  </w:font>
  <w:font w:name="SchoolBook">
    <w:altName w:val="Times New Roman"/>
    <w:panose1 w:val="00000000000000000000"/>
    <w:charset w:val="CC"/>
    <w:family w:val="auto"/>
    <w:pitch w:val="default"/>
    <w:sig w:usb0="00000000" w:usb1="00000000" w:usb2="00000000" w:usb3="00000000" w:csb0="00000004" w:csb1="00000000"/>
  </w:font>
  <w:font w:name="Georgia">
    <w:panose1 w:val="02040502050405020303"/>
    <w:charset w:val="CC"/>
    <w:family w:val="roman"/>
    <w:pitch w:val="default"/>
    <w:sig w:usb0="00000287" w:usb1="00000000" w:usb2="00000000" w:usb3="00000000" w:csb0="2000009F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none"/>
      <w:pStyle w:val="2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none"/>
      <w:pStyle w:val="3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entative="0">
      <w:start w:val="1"/>
      <w:numFmt w:val="none"/>
      <w:pStyle w:val="4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entative="0">
      <w:start w:val="1"/>
      <w:numFmt w:val="none"/>
      <w:pStyle w:val="5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entative="0">
      <w:start w:val="1"/>
      <w:numFmt w:val="none"/>
      <w:pStyle w:val="6"/>
      <w:suff w:val="nothing"/>
      <w:lvlText w:val=""/>
      <w:lvlJc w:val="left"/>
      <w:pPr>
        <w:tabs>
          <w:tab w:val="left" w:pos="0"/>
        </w:tabs>
        <w:ind w:left="0" w:firstLine="0"/>
      </w:pPr>
    </w:lvl>
    <w:lvl w:ilvl="5" w:tentative="0">
      <w:start w:val="1"/>
      <w:numFmt w:val="none"/>
      <w:pStyle w:val="7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entative="0">
      <w:start w:val="1"/>
      <w:numFmt w:val="none"/>
      <w:pStyle w:val="8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entative="0">
      <w:start w:val="1"/>
      <w:numFmt w:val="none"/>
      <w:pStyle w:val="9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C7C"/>
    <w:rsid w:val="000125E8"/>
    <w:rsid w:val="00017DDD"/>
    <w:rsid w:val="00022EB3"/>
    <w:rsid w:val="00024CFB"/>
    <w:rsid w:val="000326F6"/>
    <w:rsid w:val="00060BCC"/>
    <w:rsid w:val="00063CA7"/>
    <w:rsid w:val="00073B51"/>
    <w:rsid w:val="00085A87"/>
    <w:rsid w:val="000C084C"/>
    <w:rsid w:val="000D4C21"/>
    <w:rsid w:val="000F4F1B"/>
    <w:rsid w:val="00111CCC"/>
    <w:rsid w:val="00116F30"/>
    <w:rsid w:val="00133752"/>
    <w:rsid w:val="001359C6"/>
    <w:rsid w:val="0016027A"/>
    <w:rsid w:val="00166870"/>
    <w:rsid w:val="00170545"/>
    <w:rsid w:val="001715F3"/>
    <w:rsid w:val="001949E3"/>
    <w:rsid w:val="001B4999"/>
    <w:rsid w:val="001D19D6"/>
    <w:rsid w:val="001F03A7"/>
    <w:rsid w:val="001F1A17"/>
    <w:rsid w:val="001F6291"/>
    <w:rsid w:val="0020034A"/>
    <w:rsid w:val="00200693"/>
    <w:rsid w:val="00205A47"/>
    <w:rsid w:val="00206010"/>
    <w:rsid w:val="002132B4"/>
    <w:rsid w:val="00222E42"/>
    <w:rsid w:val="002273FF"/>
    <w:rsid w:val="002415EF"/>
    <w:rsid w:val="00246F7A"/>
    <w:rsid w:val="00252F67"/>
    <w:rsid w:val="002757CA"/>
    <w:rsid w:val="0028323F"/>
    <w:rsid w:val="00284809"/>
    <w:rsid w:val="00292CDE"/>
    <w:rsid w:val="00295C67"/>
    <w:rsid w:val="002B0092"/>
    <w:rsid w:val="002B3BFB"/>
    <w:rsid w:val="002E10E5"/>
    <w:rsid w:val="002E4796"/>
    <w:rsid w:val="003058EE"/>
    <w:rsid w:val="003059A6"/>
    <w:rsid w:val="00316FFD"/>
    <w:rsid w:val="00334E45"/>
    <w:rsid w:val="0033574B"/>
    <w:rsid w:val="0033686F"/>
    <w:rsid w:val="00337602"/>
    <w:rsid w:val="00347A8D"/>
    <w:rsid w:val="0035268D"/>
    <w:rsid w:val="00361B02"/>
    <w:rsid w:val="00361FE0"/>
    <w:rsid w:val="0036581D"/>
    <w:rsid w:val="003A7229"/>
    <w:rsid w:val="003B24BD"/>
    <w:rsid w:val="003B5072"/>
    <w:rsid w:val="00401940"/>
    <w:rsid w:val="00403D32"/>
    <w:rsid w:val="00417C2A"/>
    <w:rsid w:val="004364F9"/>
    <w:rsid w:val="00460655"/>
    <w:rsid w:val="00462600"/>
    <w:rsid w:val="0046351C"/>
    <w:rsid w:val="00471C85"/>
    <w:rsid w:val="00476045"/>
    <w:rsid w:val="004E3E4D"/>
    <w:rsid w:val="00503161"/>
    <w:rsid w:val="00507866"/>
    <w:rsid w:val="00537EF0"/>
    <w:rsid w:val="0054159E"/>
    <w:rsid w:val="00542193"/>
    <w:rsid w:val="0054490D"/>
    <w:rsid w:val="005730A1"/>
    <w:rsid w:val="00582F57"/>
    <w:rsid w:val="00590EF7"/>
    <w:rsid w:val="005972E9"/>
    <w:rsid w:val="005A508E"/>
    <w:rsid w:val="005B040E"/>
    <w:rsid w:val="005C1A4C"/>
    <w:rsid w:val="005C4075"/>
    <w:rsid w:val="005E0241"/>
    <w:rsid w:val="005E1023"/>
    <w:rsid w:val="005F2426"/>
    <w:rsid w:val="00604CCA"/>
    <w:rsid w:val="006177BB"/>
    <w:rsid w:val="00622518"/>
    <w:rsid w:val="0065579D"/>
    <w:rsid w:val="00661D38"/>
    <w:rsid w:val="006922F2"/>
    <w:rsid w:val="006A02D4"/>
    <w:rsid w:val="006B598B"/>
    <w:rsid w:val="006D64C1"/>
    <w:rsid w:val="006E4918"/>
    <w:rsid w:val="006F04C0"/>
    <w:rsid w:val="006F104C"/>
    <w:rsid w:val="00704508"/>
    <w:rsid w:val="007104EE"/>
    <w:rsid w:val="00710E6E"/>
    <w:rsid w:val="00721F15"/>
    <w:rsid w:val="00723C52"/>
    <w:rsid w:val="0073520E"/>
    <w:rsid w:val="007370CD"/>
    <w:rsid w:val="00743262"/>
    <w:rsid w:val="00751B10"/>
    <w:rsid w:val="007523C9"/>
    <w:rsid w:val="007716D3"/>
    <w:rsid w:val="00777C80"/>
    <w:rsid w:val="00785D5B"/>
    <w:rsid w:val="00794DE4"/>
    <w:rsid w:val="007C471F"/>
    <w:rsid w:val="007D39C4"/>
    <w:rsid w:val="007E1AC1"/>
    <w:rsid w:val="007F17FA"/>
    <w:rsid w:val="007F5C7C"/>
    <w:rsid w:val="00803551"/>
    <w:rsid w:val="00806098"/>
    <w:rsid w:val="00817D49"/>
    <w:rsid w:val="00842175"/>
    <w:rsid w:val="00847AA4"/>
    <w:rsid w:val="00865BF4"/>
    <w:rsid w:val="0087535D"/>
    <w:rsid w:val="00877E24"/>
    <w:rsid w:val="00883BAE"/>
    <w:rsid w:val="00885C18"/>
    <w:rsid w:val="00890E96"/>
    <w:rsid w:val="008A6E92"/>
    <w:rsid w:val="008A7C1E"/>
    <w:rsid w:val="008B5D4E"/>
    <w:rsid w:val="008D6D79"/>
    <w:rsid w:val="008F695A"/>
    <w:rsid w:val="00905178"/>
    <w:rsid w:val="00910184"/>
    <w:rsid w:val="0092281A"/>
    <w:rsid w:val="00922B1B"/>
    <w:rsid w:val="0094147A"/>
    <w:rsid w:val="009416E3"/>
    <w:rsid w:val="00952A69"/>
    <w:rsid w:val="009A3238"/>
    <w:rsid w:val="009A4437"/>
    <w:rsid w:val="009B1A51"/>
    <w:rsid w:val="009B7C9C"/>
    <w:rsid w:val="009C2F8B"/>
    <w:rsid w:val="009E29E5"/>
    <w:rsid w:val="00A041DB"/>
    <w:rsid w:val="00A33530"/>
    <w:rsid w:val="00A37EFF"/>
    <w:rsid w:val="00A56CDE"/>
    <w:rsid w:val="00A76347"/>
    <w:rsid w:val="00A90AC7"/>
    <w:rsid w:val="00A96AD9"/>
    <w:rsid w:val="00AB43E0"/>
    <w:rsid w:val="00AC1757"/>
    <w:rsid w:val="00AF7378"/>
    <w:rsid w:val="00B07AC0"/>
    <w:rsid w:val="00B1521F"/>
    <w:rsid w:val="00B158B0"/>
    <w:rsid w:val="00B15995"/>
    <w:rsid w:val="00B34211"/>
    <w:rsid w:val="00B3540F"/>
    <w:rsid w:val="00B412E0"/>
    <w:rsid w:val="00B42119"/>
    <w:rsid w:val="00B43568"/>
    <w:rsid w:val="00B50581"/>
    <w:rsid w:val="00B67F20"/>
    <w:rsid w:val="00B7250C"/>
    <w:rsid w:val="00B91090"/>
    <w:rsid w:val="00B9200E"/>
    <w:rsid w:val="00B95629"/>
    <w:rsid w:val="00BB0645"/>
    <w:rsid w:val="00BC68DD"/>
    <w:rsid w:val="00BD3175"/>
    <w:rsid w:val="00BD4039"/>
    <w:rsid w:val="00BD69DA"/>
    <w:rsid w:val="00BF2893"/>
    <w:rsid w:val="00BF5671"/>
    <w:rsid w:val="00BF56AD"/>
    <w:rsid w:val="00C063F3"/>
    <w:rsid w:val="00C07C8C"/>
    <w:rsid w:val="00C17E04"/>
    <w:rsid w:val="00C24025"/>
    <w:rsid w:val="00C320F3"/>
    <w:rsid w:val="00C41712"/>
    <w:rsid w:val="00C42948"/>
    <w:rsid w:val="00C74819"/>
    <w:rsid w:val="00C80D22"/>
    <w:rsid w:val="00C84FE2"/>
    <w:rsid w:val="00CB009F"/>
    <w:rsid w:val="00CB703B"/>
    <w:rsid w:val="00CC3667"/>
    <w:rsid w:val="00CD54F1"/>
    <w:rsid w:val="00CD59A7"/>
    <w:rsid w:val="00CD656C"/>
    <w:rsid w:val="00CF1DBA"/>
    <w:rsid w:val="00D00300"/>
    <w:rsid w:val="00D04ECB"/>
    <w:rsid w:val="00D06FF6"/>
    <w:rsid w:val="00D14A84"/>
    <w:rsid w:val="00D14E41"/>
    <w:rsid w:val="00D22C28"/>
    <w:rsid w:val="00D40383"/>
    <w:rsid w:val="00D54AC3"/>
    <w:rsid w:val="00D62582"/>
    <w:rsid w:val="00D629FE"/>
    <w:rsid w:val="00D63BDF"/>
    <w:rsid w:val="00D752AC"/>
    <w:rsid w:val="00D902ED"/>
    <w:rsid w:val="00DB0E34"/>
    <w:rsid w:val="00DB68C4"/>
    <w:rsid w:val="00DC5699"/>
    <w:rsid w:val="00DC5923"/>
    <w:rsid w:val="00DE0390"/>
    <w:rsid w:val="00DE7192"/>
    <w:rsid w:val="00DF096A"/>
    <w:rsid w:val="00E226A0"/>
    <w:rsid w:val="00E249DE"/>
    <w:rsid w:val="00E3046C"/>
    <w:rsid w:val="00E4072A"/>
    <w:rsid w:val="00E44FBC"/>
    <w:rsid w:val="00E5797E"/>
    <w:rsid w:val="00E65513"/>
    <w:rsid w:val="00E75128"/>
    <w:rsid w:val="00E86C6F"/>
    <w:rsid w:val="00E93AA0"/>
    <w:rsid w:val="00EB04EF"/>
    <w:rsid w:val="00EB7C3C"/>
    <w:rsid w:val="00EC0C1E"/>
    <w:rsid w:val="00ED3733"/>
    <w:rsid w:val="00EF7E56"/>
    <w:rsid w:val="00F04EC6"/>
    <w:rsid w:val="00F112CA"/>
    <w:rsid w:val="00F35E89"/>
    <w:rsid w:val="00F5346B"/>
    <w:rsid w:val="00F65766"/>
    <w:rsid w:val="00F73615"/>
    <w:rsid w:val="00F87B63"/>
    <w:rsid w:val="00F95975"/>
    <w:rsid w:val="00FA0A9E"/>
    <w:rsid w:val="00FA54B0"/>
    <w:rsid w:val="00FB57A7"/>
    <w:rsid w:val="00FB65B5"/>
    <w:rsid w:val="00FE0B89"/>
    <w:rsid w:val="00FE3271"/>
    <w:rsid w:val="00FF54BB"/>
    <w:rsid w:val="00FF564C"/>
    <w:rsid w:val="6A0F4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uppressAutoHyphens/>
      <w:spacing w:after="0" w:line="240" w:lineRule="auto"/>
    </w:pPr>
    <w:rPr>
      <w:rFonts w:ascii="Times New Roman" w:hAnsi="Times New Roman" w:eastAsia="Times New Roman" w:cs="Times New Roman"/>
      <w:sz w:val="20"/>
      <w:szCs w:val="20"/>
      <w:lang w:val="ru-RU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numPr>
        <w:ilvl w:val="0"/>
        <w:numId w:val="1"/>
      </w:numPr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3">
    <w:name w:val="heading 2"/>
    <w:basedOn w:val="1"/>
    <w:next w:val="1"/>
    <w:link w:val="25"/>
    <w:qFormat/>
    <w:uiPriority w:val="0"/>
    <w:pPr>
      <w:keepNext/>
      <w:numPr>
        <w:ilvl w:val="1"/>
        <w:numId w:val="1"/>
      </w:numPr>
      <w:suppressLineNumbers/>
      <w:jc w:val="center"/>
      <w:outlineLvl w:val="1"/>
    </w:pPr>
    <w:rPr>
      <w:rFonts w:ascii="Arial CYR" w:hAnsi="Arial CYR" w:cs="Arial CYR"/>
      <w:b/>
      <w:sz w:val="22"/>
    </w:rPr>
  </w:style>
  <w:style w:type="paragraph" w:styleId="4">
    <w:name w:val="heading 3"/>
    <w:basedOn w:val="1"/>
    <w:next w:val="1"/>
    <w:link w:val="26"/>
    <w:qFormat/>
    <w:uiPriority w:val="0"/>
    <w:pPr>
      <w:keepNext/>
      <w:numPr>
        <w:ilvl w:val="2"/>
        <w:numId w:val="1"/>
      </w:numPr>
      <w:ind w:firstLine="567"/>
      <w:jc w:val="center"/>
      <w:outlineLvl w:val="2"/>
    </w:pPr>
    <w:rPr>
      <w:rFonts w:ascii="Arial" w:hAnsi="Arial" w:cs="Arial"/>
      <w:sz w:val="24"/>
      <w:lang w:val="uk-UA"/>
    </w:rPr>
  </w:style>
  <w:style w:type="paragraph" w:styleId="5">
    <w:name w:val="heading 4"/>
    <w:basedOn w:val="1"/>
    <w:next w:val="1"/>
    <w:link w:val="27"/>
    <w:qFormat/>
    <w:uiPriority w:val="0"/>
    <w:pPr>
      <w:keepNext/>
      <w:widowControl w:val="0"/>
      <w:numPr>
        <w:ilvl w:val="3"/>
        <w:numId w:val="1"/>
      </w:numPr>
      <w:suppressLineNumbers/>
      <w:snapToGrid w:val="0"/>
      <w:ind w:firstLine="709"/>
      <w:outlineLvl w:val="3"/>
    </w:pPr>
    <w:rPr>
      <w:rFonts w:ascii="Arial" w:hAnsi="Arial" w:cs="Arial"/>
      <w:b/>
      <w:sz w:val="22"/>
      <w:lang w:val="uk-UA"/>
    </w:rPr>
  </w:style>
  <w:style w:type="paragraph" w:styleId="6">
    <w:name w:val="heading 5"/>
    <w:basedOn w:val="1"/>
    <w:next w:val="1"/>
    <w:link w:val="28"/>
    <w:qFormat/>
    <w:uiPriority w:val="0"/>
    <w:pPr>
      <w:keepNext/>
      <w:numPr>
        <w:ilvl w:val="4"/>
        <w:numId w:val="1"/>
      </w:numPr>
      <w:ind w:firstLine="567"/>
      <w:jc w:val="center"/>
      <w:outlineLvl w:val="4"/>
    </w:pPr>
    <w:rPr>
      <w:rFonts w:ascii="Arial" w:hAnsi="Arial" w:cs="Arial"/>
      <w:b/>
      <w:lang w:val="uk-UA"/>
    </w:rPr>
  </w:style>
  <w:style w:type="paragraph" w:styleId="7">
    <w:name w:val="heading 6"/>
    <w:basedOn w:val="1"/>
    <w:next w:val="1"/>
    <w:link w:val="29"/>
    <w:qFormat/>
    <w:uiPriority w:val="0"/>
    <w:pPr>
      <w:keepNext/>
      <w:numPr>
        <w:ilvl w:val="5"/>
        <w:numId w:val="1"/>
      </w:numPr>
      <w:ind w:firstLine="567"/>
      <w:jc w:val="both"/>
      <w:outlineLvl w:val="5"/>
    </w:pPr>
    <w:rPr>
      <w:rFonts w:ascii="Arial" w:hAnsi="Arial" w:cs="Arial"/>
      <w:b/>
      <w:sz w:val="24"/>
      <w:lang w:val="uk-UA"/>
    </w:rPr>
  </w:style>
  <w:style w:type="paragraph" w:styleId="8">
    <w:name w:val="heading 7"/>
    <w:basedOn w:val="1"/>
    <w:next w:val="1"/>
    <w:link w:val="30"/>
    <w:qFormat/>
    <w:uiPriority w:val="0"/>
    <w:pPr>
      <w:keepNext/>
      <w:numPr>
        <w:ilvl w:val="6"/>
        <w:numId w:val="1"/>
      </w:numPr>
      <w:suppressLineNumbers/>
      <w:spacing w:before="120" w:after="120"/>
      <w:ind w:left="356"/>
      <w:jc w:val="both"/>
      <w:outlineLvl w:val="6"/>
    </w:pPr>
    <w:rPr>
      <w:rFonts w:ascii="Arial" w:hAnsi="Arial" w:cs="Arial"/>
      <w:sz w:val="24"/>
      <w:lang w:val="uk-UA"/>
    </w:rPr>
  </w:style>
  <w:style w:type="paragraph" w:styleId="9">
    <w:name w:val="heading 8"/>
    <w:basedOn w:val="1"/>
    <w:next w:val="1"/>
    <w:link w:val="31"/>
    <w:qFormat/>
    <w:uiPriority w:val="0"/>
    <w:pPr>
      <w:keepNext/>
      <w:numPr>
        <w:ilvl w:val="7"/>
        <w:numId w:val="1"/>
      </w:numPr>
      <w:suppressLineNumbers/>
      <w:outlineLvl w:val="7"/>
    </w:pPr>
    <w:rPr>
      <w:rFonts w:ascii="SchoolBook" w:hAnsi="SchoolBook" w:cs="SchoolBook"/>
      <w:sz w:val="28"/>
    </w:rPr>
  </w:style>
  <w:style w:type="character" w:default="1" w:styleId="10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0"/>
    <w:uiPriority w:val="0"/>
  </w:style>
  <w:style w:type="paragraph" w:styleId="13">
    <w:name w:val="Balloon Text"/>
    <w:basedOn w:val="1"/>
    <w:link w:val="44"/>
    <w:semiHidden/>
    <w:unhideWhenUsed/>
    <w:uiPriority w:val="99"/>
    <w:rPr>
      <w:rFonts w:ascii="Segoe UI" w:hAnsi="Segoe UI" w:cs="Segoe UI"/>
      <w:sz w:val="18"/>
      <w:szCs w:val="18"/>
    </w:rPr>
  </w:style>
  <w:style w:type="paragraph" w:styleId="14">
    <w:name w:val="header"/>
    <w:basedOn w:val="1"/>
    <w:link w:val="18"/>
    <w:uiPriority w:val="0"/>
    <w:pPr>
      <w:tabs>
        <w:tab w:val="center" w:pos="4153"/>
        <w:tab w:val="right" w:pos="8306"/>
      </w:tabs>
    </w:pPr>
  </w:style>
  <w:style w:type="paragraph" w:styleId="15">
    <w:name w:val="Body Text"/>
    <w:basedOn w:val="1"/>
    <w:link w:val="20"/>
    <w:uiPriority w:val="0"/>
    <w:pPr>
      <w:spacing w:after="120"/>
    </w:pPr>
  </w:style>
  <w:style w:type="paragraph" w:styleId="16">
    <w:name w:val="Body Text Indent"/>
    <w:basedOn w:val="1"/>
    <w:link w:val="32"/>
    <w:semiHidden/>
    <w:unhideWhenUsed/>
    <w:uiPriority w:val="99"/>
    <w:pPr>
      <w:spacing w:after="120"/>
      <w:ind w:left="283"/>
    </w:pPr>
  </w:style>
  <w:style w:type="paragraph" w:styleId="17">
    <w:name w:val="footer"/>
    <w:basedOn w:val="1"/>
    <w:link w:val="19"/>
    <w:unhideWhenUsed/>
    <w:qFormat/>
    <w:uiPriority w:val="0"/>
    <w:pPr>
      <w:tabs>
        <w:tab w:val="center" w:pos="4677"/>
        <w:tab w:val="right" w:pos="9355"/>
      </w:tabs>
    </w:pPr>
  </w:style>
  <w:style w:type="character" w:customStyle="1" w:styleId="18">
    <w:name w:val="Верхний колонтитул Знак"/>
    <w:basedOn w:val="10"/>
    <w:link w:val="14"/>
    <w:qFormat/>
    <w:uiPriority w:val="0"/>
    <w:rPr>
      <w:rFonts w:ascii="Times New Roman" w:hAnsi="Times New Roman" w:eastAsia="Times New Roman" w:cs="Times New Roman"/>
      <w:sz w:val="20"/>
      <w:szCs w:val="20"/>
      <w:lang w:eastAsia="zh-CN"/>
    </w:rPr>
  </w:style>
  <w:style w:type="character" w:customStyle="1" w:styleId="19">
    <w:name w:val="Нижний колонтитул Знак"/>
    <w:basedOn w:val="10"/>
    <w:link w:val="17"/>
    <w:qFormat/>
    <w:uiPriority w:val="99"/>
    <w:rPr>
      <w:rFonts w:ascii="Times New Roman" w:hAnsi="Times New Roman" w:eastAsia="Times New Roman" w:cs="Times New Roman"/>
      <w:sz w:val="20"/>
      <w:szCs w:val="20"/>
      <w:lang w:eastAsia="zh-CN"/>
    </w:rPr>
  </w:style>
  <w:style w:type="character" w:customStyle="1" w:styleId="20">
    <w:name w:val="Основной текст Знак"/>
    <w:basedOn w:val="10"/>
    <w:link w:val="15"/>
    <w:qFormat/>
    <w:uiPriority w:val="0"/>
    <w:rPr>
      <w:rFonts w:ascii="Times New Roman" w:hAnsi="Times New Roman" w:eastAsia="Times New Roman" w:cs="Times New Roman"/>
      <w:sz w:val="20"/>
      <w:szCs w:val="20"/>
      <w:lang w:eastAsia="zh-CN"/>
    </w:rPr>
  </w:style>
  <w:style w:type="paragraph" w:customStyle="1" w:styleId="21">
    <w:name w:val="Абзац списка1"/>
    <w:basedOn w:val="1"/>
    <w:uiPriority w:val="0"/>
    <w:pPr>
      <w:spacing w:after="200" w:line="276" w:lineRule="auto"/>
      <w:ind w:left="720"/>
      <w:contextualSpacing/>
    </w:pPr>
  </w:style>
  <w:style w:type="paragraph" w:customStyle="1" w:styleId="22">
    <w:name w:val="Table Paragraph"/>
    <w:basedOn w:val="1"/>
    <w:qFormat/>
    <w:uiPriority w:val="0"/>
    <w:pPr>
      <w:widowControl w:val="0"/>
      <w:ind w:left="200"/>
    </w:pPr>
    <w:rPr>
      <w:rFonts w:ascii="Georgia" w:hAnsi="Georgia" w:eastAsia="Georgia" w:cs="Georgia"/>
      <w:lang w:eastAsia="ru-RU" w:bidi="ru-RU"/>
    </w:rPr>
  </w:style>
  <w:style w:type="paragraph" w:customStyle="1" w:styleId="23">
    <w:name w:val="Стандартный HTML1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</w:rPr>
  </w:style>
  <w:style w:type="character" w:customStyle="1" w:styleId="24">
    <w:name w:val="Заголовок 1 Знак"/>
    <w:basedOn w:val="10"/>
    <w:link w:val="2"/>
    <w:qFormat/>
    <w:uiPriority w:val="0"/>
    <w:rPr>
      <w:rFonts w:ascii="Arial" w:hAnsi="Arial" w:eastAsia="Times New Roman" w:cs="Arial"/>
      <w:b/>
      <w:bCs/>
      <w:kern w:val="2"/>
      <w:sz w:val="32"/>
      <w:szCs w:val="32"/>
      <w:lang w:eastAsia="zh-CN"/>
    </w:rPr>
  </w:style>
  <w:style w:type="character" w:customStyle="1" w:styleId="25">
    <w:name w:val="Заголовок 2 Знак"/>
    <w:basedOn w:val="10"/>
    <w:link w:val="3"/>
    <w:qFormat/>
    <w:uiPriority w:val="0"/>
    <w:rPr>
      <w:rFonts w:ascii="Arial CYR" w:hAnsi="Arial CYR" w:eastAsia="Times New Roman" w:cs="Arial CYR"/>
      <w:b/>
      <w:szCs w:val="20"/>
      <w:lang w:eastAsia="zh-CN"/>
    </w:rPr>
  </w:style>
  <w:style w:type="character" w:customStyle="1" w:styleId="26">
    <w:name w:val="Заголовок 3 Знак"/>
    <w:basedOn w:val="10"/>
    <w:link w:val="4"/>
    <w:qFormat/>
    <w:uiPriority w:val="0"/>
    <w:rPr>
      <w:rFonts w:ascii="Arial" w:hAnsi="Arial" w:eastAsia="Times New Roman" w:cs="Arial"/>
      <w:sz w:val="24"/>
      <w:szCs w:val="20"/>
      <w:lang w:val="uk-UA" w:eastAsia="zh-CN"/>
    </w:rPr>
  </w:style>
  <w:style w:type="character" w:customStyle="1" w:styleId="27">
    <w:name w:val="Заголовок 4 Знак"/>
    <w:basedOn w:val="10"/>
    <w:link w:val="5"/>
    <w:uiPriority w:val="0"/>
    <w:rPr>
      <w:rFonts w:ascii="Arial" w:hAnsi="Arial" w:eastAsia="Times New Roman" w:cs="Arial"/>
      <w:b/>
      <w:szCs w:val="20"/>
      <w:lang w:val="uk-UA" w:eastAsia="zh-CN"/>
    </w:rPr>
  </w:style>
  <w:style w:type="character" w:customStyle="1" w:styleId="28">
    <w:name w:val="Заголовок 5 Знак"/>
    <w:basedOn w:val="10"/>
    <w:link w:val="6"/>
    <w:uiPriority w:val="0"/>
    <w:rPr>
      <w:rFonts w:ascii="Arial" w:hAnsi="Arial" w:eastAsia="Times New Roman" w:cs="Arial"/>
      <w:b/>
      <w:sz w:val="20"/>
      <w:szCs w:val="20"/>
      <w:lang w:val="uk-UA" w:eastAsia="zh-CN"/>
    </w:rPr>
  </w:style>
  <w:style w:type="character" w:customStyle="1" w:styleId="29">
    <w:name w:val="Заголовок 6 Знак"/>
    <w:basedOn w:val="10"/>
    <w:link w:val="7"/>
    <w:uiPriority w:val="0"/>
    <w:rPr>
      <w:rFonts w:ascii="Arial" w:hAnsi="Arial" w:eastAsia="Times New Roman" w:cs="Arial"/>
      <w:b/>
      <w:sz w:val="24"/>
      <w:szCs w:val="20"/>
      <w:lang w:val="uk-UA" w:eastAsia="zh-CN"/>
    </w:rPr>
  </w:style>
  <w:style w:type="character" w:customStyle="1" w:styleId="30">
    <w:name w:val="Заголовок 7 Знак"/>
    <w:basedOn w:val="10"/>
    <w:link w:val="8"/>
    <w:uiPriority w:val="0"/>
    <w:rPr>
      <w:rFonts w:ascii="Arial" w:hAnsi="Arial" w:eastAsia="Times New Roman" w:cs="Arial"/>
      <w:sz w:val="24"/>
      <w:szCs w:val="20"/>
      <w:lang w:val="uk-UA" w:eastAsia="zh-CN"/>
    </w:rPr>
  </w:style>
  <w:style w:type="character" w:customStyle="1" w:styleId="31">
    <w:name w:val="Заголовок 8 Знак"/>
    <w:basedOn w:val="10"/>
    <w:link w:val="9"/>
    <w:uiPriority w:val="0"/>
    <w:rPr>
      <w:rFonts w:ascii="SchoolBook" w:hAnsi="SchoolBook" w:eastAsia="Times New Roman" w:cs="SchoolBook"/>
      <w:sz w:val="28"/>
      <w:szCs w:val="20"/>
      <w:lang w:eastAsia="zh-CN"/>
    </w:rPr>
  </w:style>
  <w:style w:type="character" w:customStyle="1" w:styleId="32">
    <w:name w:val="Основной текст с отступом Знак"/>
    <w:basedOn w:val="10"/>
    <w:link w:val="16"/>
    <w:semiHidden/>
    <w:uiPriority w:val="99"/>
    <w:rPr>
      <w:rFonts w:ascii="Times New Roman" w:hAnsi="Times New Roman" w:eastAsia="Times New Roman" w:cs="Times New Roman"/>
      <w:sz w:val="20"/>
      <w:szCs w:val="20"/>
      <w:lang w:eastAsia="zh-CN"/>
    </w:rPr>
  </w:style>
  <w:style w:type="paragraph" w:customStyle="1" w:styleId="33">
    <w:name w:val="Основной текст с отступом 31"/>
    <w:basedOn w:val="1"/>
    <w:uiPriority w:val="0"/>
    <w:pPr>
      <w:ind w:firstLine="720"/>
      <w:jc w:val="both"/>
    </w:pPr>
    <w:rPr>
      <w:rFonts w:ascii="Arial" w:hAnsi="Arial" w:cs="Arial"/>
      <w:lang w:val="uk-UA"/>
    </w:rPr>
  </w:style>
  <w:style w:type="paragraph" w:customStyle="1" w:styleId="34">
    <w:name w:val="Основной текст 21"/>
    <w:basedOn w:val="1"/>
    <w:uiPriority w:val="0"/>
    <w:pPr>
      <w:jc w:val="center"/>
    </w:pPr>
    <w:rPr>
      <w:sz w:val="28"/>
      <w:lang w:val="uk-UA"/>
    </w:rPr>
  </w:style>
  <w:style w:type="paragraph" w:customStyle="1" w:styleId="35">
    <w:name w:val="Содержимое таблицы"/>
    <w:basedOn w:val="1"/>
    <w:qFormat/>
    <w:uiPriority w:val="0"/>
    <w:pPr>
      <w:suppressLineNumbers/>
    </w:pPr>
  </w:style>
  <w:style w:type="paragraph" w:customStyle="1" w:styleId="36">
    <w:name w:val="Обычный (веб)1"/>
    <w:basedOn w:val="1"/>
    <w:uiPriority w:val="0"/>
    <w:pPr>
      <w:spacing w:before="280" w:after="280"/>
    </w:pPr>
  </w:style>
  <w:style w:type="paragraph" w:customStyle="1" w:styleId="37">
    <w:name w:val="Заголовок1"/>
    <w:basedOn w:val="1"/>
    <w:next w:val="15"/>
    <w:uiPriority w:val="0"/>
    <w:pPr>
      <w:jc w:val="center"/>
    </w:pPr>
    <w:rPr>
      <w:b/>
      <w:bCs/>
      <w:sz w:val="28"/>
      <w:szCs w:val="24"/>
    </w:rPr>
  </w:style>
  <w:style w:type="paragraph" w:customStyle="1" w:styleId="38">
    <w:name w:val="Основной текст с отступом 21"/>
    <w:basedOn w:val="1"/>
    <w:uiPriority w:val="0"/>
    <w:pPr>
      <w:ind w:firstLine="567"/>
      <w:jc w:val="both"/>
    </w:pPr>
    <w:rPr>
      <w:rFonts w:ascii="Arial" w:hAnsi="Arial" w:cs="Arial"/>
      <w:lang w:val="uk-UA"/>
    </w:rPr>
  </w:style>
  <w:style w:type="paragraph" w:customStyle="1" w:styleId="39">
    <w:name w:val="Основной текст 31"/>
    <w:basedOn w:val="1"/>
    <w:uiPriority w:val="0"/>
    <w:pPr>
      <w:spacing w:after="120"/>
    </w:pPr>
    <w:rPr>
      <w:sz w:val="16"/>
      <w:szCs w:val="16"/>
    </w:rPr>
  </w:style>
  <w:style w:type="paragraph" w:customStyle="1" w:styleId="40">
    <w:name w:val="Основной текст1"/>
    <w:basedOn w:val="1"/>
    <w:uiPriority w:val="0"/>
    <w:pPr>
      <w:widowControl w:val="0"/>
      <w:jc w:val="both"/>
    </w:pPr>
    <w:rPr>
      <w:sz w:val="18"/>
      <w:szCs w:val="18"/>
    </w:rPr>
  </w:style>
  <w:style w:type="paragraph" w:customStyle="1" w:styleId="41">
    <w:name w:val="Основной текст (2)"/>
    <w:basedOn w:val="1"/>
    <w:uiPriority w:val="0"/>
    <w:pPr>
      <w:widowControl w:val="0"/>
      <w:ind w:right="200" w:firstLine="500"/>
      <w:jc w:val="both"/>
    </w:pPr>
  </w:style>
  <w:style w:type="paragraph" w:customStyle="1" w:styleId="42">
    <w:name w:val="Iau?iue"/>
    <w:uiPriority w:val="0"/>
    <w:pPr>
      <w:suppressAutoHyphens/>
      <w:spacing w:after="0" w:line="240" w:lineRule="auto"/>
    </w:pPr>
    <w:rPr>
      <w:rFonts w:ascii="Times New Roman" w:hAnsi="Times New Roman" w:eastAsia="Times New Roman" w:cs="Times New Roman"/>
      <w:sz w:val="20"/>
      <w:szCs w:val="20"/>
      <w:lang w:val="ru-RU" w:eastAsia="zh-CN" w:bidi="ar-SA"/>
    </w:rPr>
  </w:style>
  <w:style w:type="paragraph" w:styleId="43">
    <w:name w:val="List Paragraph"/>
    <w:basedOn w:val="1"/>
    <w:qFormat/>
    <w:uiPriority w:val="34"/>
    <w:pPr>
      <w:ind w:left="720"/>
      <w:contextualSpacing/>
    </w:pPr>
  </w:style>
  <w:style w:type="character" w:customStyle="1" w:styleId="44">
    <w:name w:val="Текст выноски Знак"/>
    <w:basedOn w:val="10"/>
    <w:link w:val="13"/>
    <w:semiHidden/>
    <w:uiPriority w:val="99"/>
    <w:rPr>
      <w:rFonts w:ascii="Segoe UI" w:hAnsi="Segoe UI" w:eastAsia="Times New Roman" w:cs="Segoe UI"/>
      <w:sz w:val="18"/>
      <w:szCs w:val="18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1094</Words>
  <Characters>6236</Characters>
  <Lines>51</Lines>
  <Paragraphs>14</Paragraphs>
  <TotalTime>53</TotalTime>
  <ScaleCrop>false</ScaleCrop>
  <LinksUpToDate>false</LinksUpToDate>
  <CharactersWithSpaces>7316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2019-08-07T11:21:00Z</dcterms:created>
  <dc:creator>UseR</dc:creator>
  <cp:lastModifiedBy>307-11</cp:lastModifiedBy>
  <cp:lastPrinted>2024-09-18T06:55:00Z</cp:lastPrinted>
  <dcterms:modified xsi:type="dcterms:W3CDTF">2026-04-09T13:18:18Z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D68FC3C415A84C8084ABBE9C54C9CD38_12</vt:lpwstr>
  </property>
</Properties>
</file>